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7</w:t>
      </w:r>
      <w:r>
        <w:rPr>
          <w:rFonts w:hint="eastAsia" w:ascii="Times New Roman" w:hAnsi="Times New Roman" w:eastAsia="宋体"/>
          <w:b/>
          <w:sz w:val="28"/>
          <w:szCs w:val="28"/>
          <w:lang w:val="en-US"/>
        </w:rPr>
        <w:t>bis</w:t>
      </w:r>
      <w:r>
        <w:rPr>
          <w:rFonts w:ascii="Times New Roman" w:hAnsi="Times New Roman" w:eastAsia="宋体"/>
          <w:b/>
          <w:sz w:val="28"/>
          <w:szCs w:val="28"/>
          <w:lang w:eastAsia="en-GB"/>
        </w:rPr>
        <w:t>-e</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w:t>
      </w:r>
      <w:r>
        <w:rPr>
          <w:rFonts w:hint="eastAsia" w:ascii="Times New Roman" w:hAnsi="Times New Roman" w:eastAsia="宋体"/>
          <w:b/>
          <w:sz w:val="28"/>
          <w:szCs w:val="28"/>
          <w:lang w:val="en-US" w:eastAsia="zh-CN"/>
        </w:rPr>
        <w:t>5837</w:t>
      </w:r>
    </w:p>
    <w:p>
      <w:pPr>
        <w:pStyle w:val="34"/>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0</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2022 Online</w:t>
      </w:r>
    </w:p>
    <w:p>
      <w:pPr>
        <w:pStyle w:val="34"/>
        <w:jc w:val="left"/>
        <w:rPr>
          <w:rFonts w:hint="default" w:ascii="Times New Roman" w:hAnsi="Times New Roman" w:eastAsia="Arial Unicode MS"/>
          <w:szCs w:val="22"/>
          <w:highlight w:val="none"/>
          <w:lang w:val="en-US" w:eastAsia="zh-CN"/>
        </w:rPr>
      </w:pPr>
      <w:r>
        <w:rPr>
          <w:rFonts w:ascii="Times New Roman" w:hAnsi="Times New Roman" w:eastAsia="Arial Unicode MS"/>
          <w:szCs w:val="22"/>
          <w:highlight w:val="none"/>
        </w:rPr>
        <w:t>Agenda Item:</w:t>
      </w:r>
      <w:r>
        <w:rPr>
          <w:rFonts w:ascii="Times New Roman" w:hAnsi="Times New Roman" w:eastAsia="Arial Unicode MS"/>
          <w:szCs w:val="22"/>
          <w:highlight w:val="none"/>
        </w:rPr>
        <w:tab/>
      </w:r>
      <w:r>
        <w:rPr>
          <w:rFonts w:hint="eastAsia" w:ascii="Times New Roman" w:hAnsi="Times New Roman" w:eastAsia="Arial Unicode MS"/>
          <w:szCs w:val="22"/>
          <w:highlight w:val="none"/>
          <w:lang w:val="en-US" w:eastAsia="zh-CN"/>
        </w:rPr>
        <w:t>11.3</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QoE measurement in NR-DC</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lang w:val="en-GB"/>
        </w:rPr>
      </w:pPr>
      <w:r>
        <w:rPr>
          <w:rStyle w:val="43"/>
          <w:rFonts w:hint="eastAsia" w:ascii="Times New Roman" w:hAnsi="Times New Roman" w:eastAsia="等线"/>
          <w:sz w:val="21"/>
          <w:szCs w:val="21"/>
          <w:lang w:val="en-GB"/>
        </w:rPr>
        <w:t>T</w:t>
      </w:r>
      <w:r>
        <w:rPr>
          <w:rStyle w:val="43"/>
          <w:rFonts w:ascii="Times New Roman" w:hAnsi="Times New Roman" w:eastAsia="等线"/>
          <w:sz w:val="21"/>
          <w:szCs w:val="21"/>
          <w:lang w:val="en-GB"/>
        </w:rPr>
        <w:t>he following agreements have been made in last meeting:</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 xml:space="preserve">MN is responsible to configure the s-based QoE to UE. </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 xml:space="preserve">For M-based QoE configuration in NR-DC, coordination between MN and SN is needed. </w:t>
      </w:r>
      <w:r>
        <w:rPr>
          <w:rFonts w:eastAsia="等线" w:asciiTheme="minorHAnsi" w:hAnsiTheme="minorHAnsi" w:cstheme="minorHAnsi"/>
          <w:color w:val="00B050"/>
          <w:spacing w:val="2"/>
          <w:sz w:val="21"/>
          <w:szCs w:val="21"/>
          <w:lang w:val="en-US"/>
        </w:rPr>
        <w:t xml:space="preserve">Details are FFS. </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If the M-based QoE configuration is received by the MN, the MN should make the decision on the UE selection and on which node sends the QoE configuration to the UE.</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If the M-based QoE configuration is received only by the SN, whether the MN or the SN performs UE selection and sends the QoE configuration to the UE needs to be further discussed.</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QoE reports can be transmitted to either MN or SN and the reporting leg (MCG or SCG) can be changed during the application session. Send LS to RAN2.</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WA: If QoE reports are received by the SN, SN can forward the QoE reports to MCE directly.</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RAN3 should discuss and clarify the scenarios for QoE reporting transmitted over SN. Which SRB can be used for QoE reporting in SN depend on RAN2.</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WA: MN and SN can generate RVQoE configurations.</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MN and SN should coordinate about configuring a dual-connected UE with RVQoE measurements. The details of the coordination are FFS.</w:t>
      </w:r>
    </w:p>
    <w:p>
      <w:pPr>
        <w:pStyle w:val="38"/>
        <w:numPr>
          <w:ilvl w:val="0"/>
          <w:numId w:val="7"/>
        </w:numPr>
        <w:jc w:val="left"/>
        <w:rPr>
          <w:rFonts w:eastAsia="等线" w:asciiTheme="minorHAnsi" w:hAnsiTheme="minorHAnsi" w:cstheme="minorHAnsi"/>
          <w:color w:val="00B050"/>
          <w:spacing w:val="2"/>
          <w:sz w:val="21"/>
          <w:szCs w:val="21"/>
          <w:lang w:val="en-US"/>
        </w:rPr>
      </w:pPr>
      <w:r>
        <w:rPr>
          <w:rFonts w:eastAsia="等线" w:asciiTheme="minorHAnsi" w:hAnsiTheme="minorHAnsi" w:cstheme="minorHAnsi"/>
          <w:bCs/>
          <w:color w:val="00B050"/>
          <w:spacing w:val="2"/>
          <w:sz w:val="21"/>
          <w:szCs w:val="21"/>
          <w:lang w:val="en-US"/>
        </w:rPr>
        <w:t>WA: UE can send RVQoE report to MN, MN then forward the RVQoE report to SN if needed, and vice versa.</w:t>
      </w:r>
    </w:p>
    <w:p>
      <w:pPr>
        <w:pStyle w:val="38"/>
        <w:numPr>
          <w:ilvl w:val="0"/>
          <w:numId w:val="7"/>
        </w:numPr>
        <w:jc w:val="left"/>
        <w:rPr>
          <w:rFonts w:eastAsia="等线" w:asciiTheme="minorHAnsi" w:hAnsiTheme="minorHAnsi" w:cstheme="minorHAnsi"/>
          <w:spacing w:val="2"/>
          <w:sz w:val="21"/>
          <w:szCs w:val="21"/>
          <w:lang w:val="en-US"/>
        </w:rPr>
      </w:pPr>
      <w:r>
        <w:rPr>
          <w:rFonts w:eastAsia="等线" w:asciiTheme="minorHAnsi" w:hAnsiTheme="minorHAnsi" w:cstheme="minorHAnsi"/>
          <w:spacing w:val="2"/>
          <w:sz w:val="21"/>
          <w:szCs w:val="21"/>
          <w:lang w:val="en-US"/>
        </w:rPr>
        <w:t>To be continue:</w:t>
      </w:r>
    </w:p>
    <w:p>
      <w:pPr>
        <w:pStyle w:val="38"/>
        <w:numPr>
          <w:ilvl w:val="0"/>
          <w:numId w:val="7"/>
        </w:numPr>
        <w:jc w:val="left"/>
        <w:rPr>
          <w:rFonts w:eastAsia="等线" w:asciiTheme="minorHAnsi" w:hAnsiTheme="minorHAnsi" w:cstheme="minorHAnsi"/>
          <w:spacing w:val="2"/>
          <w:sz w:val="21"/>
          <w:szCs w:val="21"/>
          <w:lang w:val="en-US"/>
        </w:rPr>
      </w:pPr>
      <w:r>
        <w:rPr>
          <w:rFonts w:eastAsia="等线" w:asciiTheme="minorHAnsi" w:hAnsiTheme="minorHAnsi" w:cstheme="minorHAnsi"/>
          <w:spacing w:val="2"/>
          <w:sz w:val="21"/>
          <w:szCs w:val="21"/>
          <w:lang w:val="en-US"/>
        </w:rPr>
        <w:t>FFS on how to control which leg is used for transmission of QoE reports in NR-DC.</w:t>
      </w:r>
    </w:p>
    <w:p>
      <w:pPr>
        <w:pStyle w:val="38"/>
        <w:numPr>
          <w:ilvl w:val="0"/>
          <w:numId w:val="7"/>
        </w:numPr>
        <w:jc w:val="left"/>
        <w:rPr>
          <w:rFonts w:eastAsia="等线" w:asciiTheme="minorHAnsi" w:hAnsiTheme="minorHAnsi" w:cstheme="minorHAnsi"/>
          <w:spacing w:val="2"/>
          <w:sz w:val="21"/>
          <w:szCs w:val="21"/>
          <w:lang w:val="en-US"/>
        </w:rPr>
      </w:pPr>
      <w:r>
        <w:rPr>
          <w:rFonts w:eastAsia="等线" w:asciiTheme="minorHAnsi" w:hAnsiTheme="minorHAnsi" w:cstheme="minorHAnsi"/>
          <w:spacing w:val="2"/>
          <w:sz w:val="21"/>
          <w:szCs w:val="21"/>
          <w:lang w:val="en-US"/>
        </w:rPr>
        <w:t>FFS on whether QoE reports can be transmitted over MCG and SCG simultaneously, i.e., whether split SRB can be used to transmit QoE reports in NR-DC?</w:t>
      </w:r>
    </w:p>
    <w:p>
      <w:pPr>
        <w:pStyle w:val="38"/>
        <w:numPr>
          <w:ilvl w:val="0"/>
          <w:numId w:val="7"/>
        </w:numPr>
        <w:jc w:val="left"/>
        <w:rPr>
          <w:rFonts w:eastAsia="等线" w:asciiTheme="minorHAnsi" w:hAnsiTheme="minorHAnsi" w:cstheme="minorHAnsi"/>
          <w:spacing w:val="2"/>
          <w:sz w:val="21"/>
          <w:szCs w:val="21"/>
          <w:lang w:val="en-US"/>
        </w:rPr>
      </w:pPr>
      <w:r>
        <w:rPr>
          <w:rFonts w:eastAsia="等线" w:asciiTheme="minorHAnsi" w:hAnsiTheme="minorHAnsi" w:cstheme="minorHAnsi"/>
          <w:spacing w:val="2"/>
          <w:sz w:val="21"/>
          <w:szCs w:val="21"/>
          <w:lang w:val="en-US"/>
        </w:rPr>
        <w:t>FFS whether a common or independent RVQoE configuration for MN and SN is sent to the UE.</w:t>
      </w:r>
    </w:p>
    <w:p>
      <w:pPr>
        <w:pStyle w:val="38"/>
        <w:numPr>
          <w:ilvl w:val="0"/>
          <w:numId w:val="7"/>
        </w:numPr>
        <w:jc w:val="left"/>
        <w:rPr>
          <w:rFonts w:eastAsia="等线" w:asciiTheme="minorHAnsi" w:hAnsiTheme="minorHAnsi" w:cstheme="minorHAnsi"/>
          <w:spacing w:val="2"/>
          <w:sz w:val="21"/>
          <w:szCs w:val="21"/>
          <w:lang w:val="en-US"/>
        </w:rPr>
      </w:pPr>
      <w:r>
        <w:rPr>
          <w:rFonts w:eastAsia="等线" w:asciiTheme="minorHAnsi" w:hAnsiTheme="minorHAnsi" w:cstheme="minorHAnsi"/>
          <w:spacing w:val="2"/>
          <w:sz w:val="21"/>
          <w:szCs w:val="21"/>
          <w:lang w:val="en-US"/>
        </w:rPr>
        <w:t xml:space="preserve">FFS on whether both MN and SN may receive RVQoE reports from UE for NR-DC. </w:t>
      </w:r>
    </w:p>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above</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configuration in NR-DC </w:t>
      </w:r>
    </w:p>
    <w:p>
      <w:pPr>
        <w:rPr>
          <w:rFonts w:ascii="Times New Roman" w:hAnsi="Times New Roman" w:eastAsia="等线"/>
          <w:bCs/>
          <w:sz w:val="22"/>
          <w:szCs w:val="22"/>
        </w:rPr>
      </w:pPr>
      <w:r>
        <w:rPr>
          <w:rFonts w:hint="eastAsia" w:ascii="Times New Roman" w:hAnsi="Times New Roman" w:eastAsia="等线"/>
          <w:bCs/>
          <w:sz w:val="22"/>
          <w:szCs w:val="22"/>
        </w:rPr>
        <w:t>F</w:t>
      </w:r>
      <w:r>
        <w:rPr>
          <w:rFonts w:ascii="Times New Roman" w:hAnsi="Times New Roman" w:eastAsia="等线"/>
          <w:bCs/>
          <w:sz w:val="22"/>
          <w:szCs w:val="22"/>
        </w:rPr>
        <w:t>or s-based QoE configuration, it is the Core Network’s responsibility to find the corresponding NG-RAN connected to the UE. In a DC scenario, MN would be directly connected to the CN and can configure the UE with Qo</w:t>
      </w:r>
      <w:r>
        <w:rPr>
          <w:rFonts w:hint="eastAsia" w:ascii="Times New Roman" w:hAnsi="Times New Roman" w:eastAsia="等线"/>
          <w:bCs/>
          <w:sz w:val="22"/>
          <w:szCs w:val="22"/>
        </w:rPr>
        <w:t>E</w:t>
      </w:r>
      <w:r>
        <w:rPr>
          <w:rFonts w:ascii="Times New Roman" w:hAnsi="Times New Roman" w:eastAsia="等线"/>
          <w:bCs/>
          <w:sz w:val="22"/>
          <w:szCs w:val="22"/>
        </w:rPr>
        <w:t xml:space="preserve"> configuration straightforwardly. </w:t>
      </w:r>
    </w:p>
    <w:p>
      <w:pPr>
        <w:rPr>
          <w:rFonts w:ascii="Times New Roman" w:hAnsi="Times New Roman" w:eastAsia="等线"/>
          <w:bCs/>
          <w:sz w:val="22"/>
          <w:szCs w:val="22"/>
        </w:rPr>
      </w:pPr>
      <w:r>
        <w:rPr>
          <w:rFonts w:ascii="Times New Roman" w:hAnsi="Times New Roman" w:eastAsia="等线"/>
          <w:bCs/>
          <w:sz w:val="22"/>
          <w:szCs w:val="22"/>
        </w:rPr>
        <w:t xml:space="preserve">Based on the agreement made in </w:t>
      </w:r>
      <w:r>
        <w:rPr>
          <w:rFonts w:hint="eastAsia" w:ascii="Times New Roman" w:hAnsi="Times New Roman" w:eastAsia="等线"/>
          <w:bCs/>
          <w:sz w:val="22"/>
          <w:szCs w:val="22"/>
          <w:lang w:val="en-US"/>
        </w:rPr>
        <w:t>RAN3#117e meeting</w:t>
      </w:r>
      <w:r>
        <w:rPr>
          <w:rFonts w:ascii="Times New Roman" w:hAnsi="Times New Roman" w:eastAsia="等线"/>
          <w:bCs/>
          <w:sz w:val="22"/>
          <w:szCs w:val="22"/>
          <w:lang w:val="en-US"/>
        </w:rPr>
        <w:t>:</w:t>
      </w:r>
    </w:p>
    <w:p>
      <w:pPr>
        <w:pStyle w:val="38"/>
        <w:numPr>
          <w:ilvl w:val="0"/>
          <w:numId w:val="7"/>
        </w:numPr>
        <w:jc w:val="left"/>
        <w:rPr>
          <w:rFonts w:eastAsia="等线" w:asciiTheme="minorHAnsi" w:hAnsiTheme="minorHAnsi" w:cstheme="minorHAnsi"/>
          <w:b/>
          <w:color w:val="00B050"/>
          <w:spacing w:val="2"/>
          <w:sz w:val="21"/>
          <w:szCs w:val="21"/>
          <w:lang w:val="en-US"/>
        </w:rPr>
      </w:pPr>
      <w:r>
        <w:rPr>
          <w:rFonts w:eastAsia="等线" w:asciiTheme="minorHAnsi" w:hAnsiTheme="minorHAnsi" w:cstheme="minorHAnsi"/>
          <w:b/>
          <w:bCs/>
          <w:color w:val="00B050"/>
          <w:spacing w:val="2"/>
          <w:sz w:val="21"/>
          <w:szCs w:val="21"/>
          <w:lang w:val="en-US"/>
        </w:rPr>
        <w:t xml:space="preserve">MN is responsible to configure the s-based QoE to UE. </w:t>
      </w:r>
    </w:p>
    <w:p>
      <w:pPr>
        <w:rPr>
          <w:rFonts w:ascii="Times New Roman" w:hAnsi="Times New Roman" w:eastAsia="等线"/>
          <w:bCs/>
          <w:sz w:val="22"/>
          <w:szCs w:val="22"/>
          <w:lang w:val="en-US"/>
        </w:rPr>
      </w:pPr>
      <w:r>
        <w:rPr>
          <w:rFonts w:ascii="Times New Roman" w:hAnsi="Times New Roman" w:eastAsia="等线"/>
          <w:bCs/>
          <w:sz w:val="22"/>
          <w:szCs w:val="22"/>
          <w:lang w:val="en-US"/>
        </w:rPr>
        <w:t xml:space="preserve">There is no need to involve SN for </w:t>
      </w:r>
      <w:r>
        <w:rPr>
          <w:rFonts w:ascii="Times New Roman" w:hAnsi="Times New Roman" w:eastAsia="等线"/>
          <w:bCs/>
          <w:sz w:val="22"/>
          <w:szCs w:val="22"/>
        </w:rPr>
        <w:t xml:space="preserve">s-based QoE configuration </w:t>
      </w:r>
      <w:r>
        <w:rPr>
          <w:rFonts w:hint="eastAsia" w:ascii="Times New Roman" w:hAnsi="Times New Roman" w:eastAsia="等线"/>
          <w:bCs/>
          <w:sz w:val="22"/>
          <w:szCs w:val="22"/>
        </w:rPr>
        <w:t>and</w:t>
      </w:r>
      <w:r>
        <w:rPr>
          <w:rFonts w:ascii="Times New Roman" w:hAnsi="Times New Roman" w:eastAsia="等线"/>
          <w:bCs/>
          <w:sz w:val="22"/>
          <w:szCs w:val="22"/>
        </w:rPr>
        <w:t xml:space="preserve"> MN shall configure the UE independently. </w:t>
      </w:r>
    </w:p>
    <w:p>
      <w:pPr>
        <w:rPr>
          <w:rFonts w:ascii="Times New Roman" w:hAnsi="Times New Roman" w:eastAsia="等线"/>
          <w:bCs/>
          <w:sz w:val="22"/>
          <w:szCs w:val="22"/>
        </w:rPr>
      </w:pPr>
      <w:r>
        <w:rPr>
          <w:rFonts w:ascii="Times New Roman" w:hAnsi="Times New Roman" w:eastAsia="等线"/>
          <w:b/>
          <w:sz w:val="22"/>
          <w:szCs w:val="22"/>
          <w:lang w:val="en-US"/>
        </w:rPr>
        <w:t xml:space="preserve">Observation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s-based QoE configuration, MN shall configure the UE without any action from SN.</w:t>
      </w:r>
    </w:p>
    <w:p>
      <w:pPr>
        <w:rPr>
          <w:rFonts w:ascii="Times New Roman" w:hAnsi="Times New Roman" w:eastAsia="等线"/>
          <w:bCs/>
          <w:sz w:val="22"/>
          <w:szCs w:val="22"/>
        </w:rPr>
      </w:pPr>
    </w:p>
    <w:p>
      <w:pPr>
        <w:rPr>
          <w:rFonts w:ascii="Times New Roman" w:hAnsi="Times New Roman" w:eastAsia="等线"/>
          <w:bCs/>
          <w:sz w:val="22"/>
          <w:szCs w:val="22"/>
        </w:rPr>
      </w:pPr>
      <w:r>
        <w:rPr>
          <w:rFonts w:hint="eastAsia" w:ascii="Times New Roman" w:hAnsi="Times New Roman" w:eastAsia="等线"/>
          <w:bCs/>
          <w:sz w:val="22"/>
          <w:szCs w:val="22"/>
        </w:rPr>
        <w:t>F</w:t>
      </w:r>
      <w:r>
        <w:rPr>
          <w:rFonts w:ascii="Times New Roman" w:hAnsi="Times New Roman" w:eastAsia="等线"/>
          <w:bCs/>
          <w:sz w:val="22"/>
          <w:szCs w:val="22"/>
        </w:rPr>
        <w:t>or m-based QoE configuration, in the DC scenarios, MN and SN can be in different area scopes of an m-based QMC, considering the following circumstances:</w:t>
      </w:r>
    </w:p>
    <w:p>
      <w:pPr>
        <w:pStyle w:val="38"/>
        <w:numPr>
          <w:ilvl w:val="0"/>
          <w:numId w:val="8"/>
        </w:numPr>
        <w:rPr>
          <w:rFonts w:ascii="Times New Roman" w:hAnsi="Times New Roman" w:eastAsia="等线"/>
          <w:bCs/>
          <w:sz w:val="22"/>
          <w:szCs w:val="22"/>
        </w:rPr>
      </w:pPr>
      <w:r>
        <w:rPr>
          <w:rFonts w:ascii="Times New Roman" w:hAnsi="Times New Roman" w:eastAsia="等线"/>
          <w:bCs/>
          <w:sz w:val="22"/>
          <w:szCs w:val="22"/>
        </w:rPr>
        <w:t>MN and SN are both within the area scope of an m-based QMC</w:t>
      </w:r>
    </w:p>
    <w:p>
      <w:pPr>
        <w:pStyle w:val="38"/>
        <w:numPr>
          <w:ilvl w:val="0"/>
          <w:numId w:val="8"/>
        </w:numPr>
        <w:rPr>
          <w:rFonts w:ascii="Times New Roman" w:hAnsi="Times New Roman" w:eastAsia="等线"/>
          <w:bCs/>
          <w:sz w:val="22"/>
          <w:szCs w:val="22"/>
        </w:rPr>
      </w:pPr>
      <w:r>
        <w:rPr>
          <w:rFonts w:ascii="Times New Roman" w:hAnsi="Times New Roman" w:eastAsia="等线"/>
          <w:bCs/>
          <w:sz w:val="22"/>
          <w:szCs w:val="22"/>
        </w:rPr>
        <w:t>MN is in the area scope of an m-based QMC while SN is not</w:t>
      </w:r>
    </w:p>
    <w:p>
      <w:pPr>
        <w:pStyle w:val="38"/>
        <w:numPr>
          <w:ilvl w:val="0"/>
          <w:numId w:val="8"/>
        </w:numPr>
        <w:rPr>
          <w:rFonts w:ascii="Times New Roman" w:hAnsi="Times New Roman" w:eastAsia="等线"/>
          <w:bCs/>
          <w:sz w:val="22"/>
          <w:szCs w:val="22"/>
        </w:rPr>
      </w:pPr>
      <w:r>
        <w:rPr>
          <w:rFonts w:ascii="Times New Roman" w:hAnsi="Times New Roman" w:eastAsia="等线"/>
          <w:bCs/>
          <w:sz w:val="22"/>
          <w:szCs w:val="22"/>
        </w:rPr>
        <w:t>SN is in the area scope of an m-based QMC while MN is not</w:t>
      </w:r>
    </w:p>
    <w:p>
      <w:pPr>
        <w:rPr>
          <w:rFonts w:ascii="Times New Roman" w:hAnsi="Times New Roman" w:eastAsia="等线"/>
          <w:bCs/>
          <w:sz w:val="22"/>
          <w:szCs w:val="22"/>
        </w:rPr>
      </w:pPr>
    </w:p>
    <w:p>
      <w:pPr>
        <w:rPr>
          <w:rFonts w:ascii="Times New Roman" w:hAnsi="Times New Roman" w:eastAsia="等线"/>
          <w:bCs/>
          <w:sz w:val="22"/>
          <w:szCs w:val="22"/>
        </w:rPr>
      </w:pPr>
      <w:r>
        <w:rPr>
          <w:rFonts w:ascii="Times New Roman" w:hAnsi="Times New Roman" w:eastAsia="等线"/>
          <w:bCs/>
          <w:sz w:val="22"/>
          <w:szCs w:val="22"/>
        </w:rPr>
        <w:t>Regarding a), MN and SN would both receive the same m-based QoE configuration, therefore MN and SN can be able to configure the UE with QMC.</w:t>
      </w:r>
    </w:p>
    <w:p>
      <w:pPr>
        <w:rPr>
          <w:rFonts w:ascii="Times New Roman" w:hAnsi="Times New Roman" w:eastAsia="等线"/>
          <w:bCs/>
          <w:sz w:val="22"/>
          <w:szCs w:val="22"/>
        </w:rPr>
      </w:pPr>
      <w:r>
        <w:rPr>
          <w:rFonts w:ascii="Times New Roman" w:hAnsi="Times New Roman" w:eastAsia="等线"/>
          <w:bCs/>
          <w:sz w:val="22"/>
          <w:szCs w:val="22"/>
        </w:rPr>
        <w:t>An agreement in this circumstance was already taken:</w:t>
      </w:r>
    </w:p>
    <w:p>
      <w:pPr>
        <w:pStyle w:val="38"/>
        <w:numPr>
          <w:ilvl w:val="0"/>
          <w:numId w:val="7"/>
        </w:numPr>
        <w:jc w:val="left"/>
        <w:rPr>
          <w:rFonts w:eastAsia="等线" w:asciiTheme="minorHAnsi" w:hAnsiTheme="minorHAnsi" w:cstheme="minorHAnsi"/>
          <w:b/>
          <w:color w:val="00B050"/>
          <w:spacing w:val="2"/>
          <w:sz w:val="21"/>
          <w:szCs w:val="21"/>
          <w:lang w:val="en-US"/>
        </w:rPr>
      </w:pPr>
      <w:r>
        <w:rPr>
          <w:rFonts w:eastAsia="等线" w:asciiTheme="minorHAnsi" w:hAnsiTheme="minorHAnsi" w:cstheme="minorHAnsi"/>
          <w:b/>
          <w:bCs/>
          <w:color w:val="00B050"/>
          <w:spacing w:val="2"/>
          <w:sz w:val="21"/>
          <w:szCs w:val="21"/>
          <w:lang w:val="en-US"/>
        </w:rPr>
        <w:t xml:space="preserve">For M-based QoE configuration in NR-DC, coordination between MN and SN is needed. </w:t>
      </w:r>
      <w:r>
        <w:rPr>
          <w:rFonts w:eastAsia="等线" w:asciiTheme="minorHAnsi" w:hAnsiTheme="minorHAnsi" w:cstheme="minorHAnsi"/>
          <w:b/>
          <w:color w:val="00B050"/>
          <w:spacing w:val="2"/>
          <w:sz w:val="21"/>
          <w:szCs w:val="21"/>
          <w:lang w:val="en-US"/>
        </w:rPr>
        <w:t xml:space="preserve">Details are FFS. </w:t>
      </w:r>
    </w:p>
    <w:p>
      <w:pPr>
        <w:pStyle w:val="38"/>
        <w:numPr>
          <w:ilvl w:val="0"/>
          <w:numId w:val="7"/>
        </w:numPr>
        <w:jc w:val="left"/>
        <w:rPr>
          <w:rFonts w:eastAsia="等线" w:asciiTheme="minorHAnsi" w:hAnsiTheme="minorHAnsi" w:cstheme="minorHAnsi"/>
          <w:b/>
          <w:color w:val="00B050"/>
          <w:spacing w:val="2"/>
          <w:sz w:val="21"/>
          <w:szCs w:val="21"/>
          <w:lang w:val="en-US"/>
        </w:rPr>
      </w:pPr>
      <w:r>
        <w:rPr>
          <w:rFonts w:eastAsia="等线" w:asciiTheme="minorHAnsi" w:hAnsiTheme="minorHAnsi" w:cstheme="minorHAnsi"/>
          <w:b/>
          <w:bCs/>
          <w:color w:val="00B050"/>
          <w:spacing w:val="2"/>
          <w:sz w:val="21"/>
          <w:szCs w:val="21"/>
          <w:lang w:val="en-US"/>
        </w:rPr>
        <w:t>If the M-based QoE configuration is received by the MN, the MN should make the decision on the UE selection and on which node sends the QoE configuration to the UE.</w:t>
      </w:r>
    </w:p>
    <w:p>
      <w:pPr>
        <w:rPr>
          <w:rFonts w:ascii="Times New Roman" w:hAnsi="Times New Roman" w:eastAsia="等线"/>
          <w:bCs/>
          <w:sz w:val="22"/>
          <w:szCs w:val="22"/>
        </w:rPr>
      </w:pPr>
      <w:r>
        <w:rPr>
          <w:rFonts w:ascii="Times New Roman" w:hAnsi="Times New Roman" w:eastAsia="等线"/>
          <w:bCs/>
          <w:sz w:val="22"/>
          <w:szCs w:val="22"/>
          <w:lang w:val="en-US"/>
        </w:rPr>
        <w:t xml:space="preserve">MN can make the decision only when it is aware of there is a same </w:t>
      </w:r>
      <w:r>
        <w:rPr>
          <w:rFonts w:ascii="Times New Roman" w:hAnsi="Times New Roman" w:eastAsia="等线"/>
          <w:bCs/>
          <w:sz w:val="22"/>
          <w:szCs w:val="22"/>
        </w:rPr>
        <w:t>m-based QoE configuration received in SN as well. W</w:t>
      </w:r>
      <w:r>
        <w:rPr>
          <w:rFonts w:hint="eastAsia" w:ascii="Times New Roman" w:hAnsi="Times New Roman" w:eastAsia="等线"/>
          <w:bCs/>
          <w:sz w:val="22"/>
          <w:szCs w:val="22"/>
        </w:rPr>
        <w:t>ith</w:t>
      </w:r>
      <w:r>
        <w:rPr>
          <w:rFonts w:ascii="Times New Roman" w:hAnsi="Times New Roman" w:eastAsia="等线"/>
          <w:bCs/>
          <w:sz w:val="22"/>
          <w:szCs w:val="22"/>
        </w:rPr>
        <w:t xml:space="preserve"> the neighbor information from Xn setup procedure, gNB can contain a complete list of supported TAs and a list of cells served by the gNB. </w:t>
      </w:r>
    </w:p>
    <w:p>
      <w:pPr>
        <w:rPr>
          <w:rFonts w:ascii="Times New Roman" w:hAnsi="Times New Roman" w:eastAsia="等线"/>
          <w:bCs/>
          <w:sz w:val="22"/>
          <w:szCs w:val="22"/>
        </w:rPr>
      </w:pPr>
      <w:r>
        <w:rPr>
          <w:rFonts w:ascii="Times New Roman" w:hAnsi="Times New Roman" w:eastAsia="等线"/>
          <w:b/>
          <w:sz w:val="22"/>
          <w:szCs w:val="22"/>
          <w:lang w:val="en-US"/>
        </w:rPr>
        <w:t xml:space="preserve">Observation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rPr>
        <w:t>MN and SN can check whether they are in QoE area scope or not.</w:t>
      </w:r>
    </w:p>
    <w:tbl>
      <w:tblPr>
        <w:tblStyle w:val="19"/>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457"/>
        <w:gridCol w:w="110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6"/>
              <w:rPr>
                <w:lang w:eastAsia="ja-JP"/>
              </w:rPr>
            </w:pPr>
            <w:r>
              <w:rPr>
                <w:lang w:eastAsia="ja-JP"/>
              </w:rPr>
              <w:t>IE/Group Name</w:t>
            </w:r>
          </w:p>
        </w:tc>
        <w:tc>
          <w:tcPr>
            <w:tcW w:w="1104" w:type="dxa"/>
          </w:tcPr>
          <w:p>
            <w:pPr>
              <w:pStyle w:val="56"/>
              <w:rPr>
                <w:lang w:eastAsia="ja-JP"/>
              </w:rPr>
            </w:pPr>
            <w:r>
              <w:rPr>
                <w:lang w:eastAsia="ja-JP"/>
              </w:rPr>
              <w:t>Presence</w:t>
            </w:r>
          </w:p>
        </w:tc>
        <w:tc>
          <w:tcPr>
            <w:tcW w:w="1694" w:type="dxa"/>
          </w:tcPr>
          <w:p>
            <w:pPr>
              <w:pStyle w:val="56"/>
              <w:rPr>
                <w:lang w:eastAsia="ja-JP"/>
              </w:rPr>
            </w:pPr>
            <w:r>
              <w:rPr>
                <w:lang w:eastAsia="ja-JP"/>
              </w:rPr>
              <w:t>Range</w:t>
            </w:r>
          </w:p>
        </w:tc>
        <w:tc>
          <w:tcPr>
            <w:tcW w:w="1273" w:type="dxa"/>
          </w:tcPr>
          <w:p>
            <w:pPr>
              <w:pStyle w:val="56"/>
              <w:rPr>
                <w:lang w:eastAsia="ja-JP"/>
              </w:rPr>
            </w:pPr>
            <w:r>
              <w:rPr>
                <w:lang w:eastAsia="ja-JP"/>
              </w:rPr>
              <w:t>IE type and reference</w:t>
            </w:r>
          </w:p>
        </w:tc>
        <w:tc>
          <w:tcPr>
            <w:tcW w:w="1457" w:type="dxa"/>
          </w:tcPr>
          <w:p>
            <w:pPr>
              <w:pStyle w:val="56"/>
              <w:rPr>
                <w:lang w:eastAsia="ja-JP"/>
              </w:rPr>
            </w:pPr>
            <w:r>
              <w:rPr>
                <w:lang w:eastAsia="ja-JP"/>
              </w:rPr>
              <w:t>Semantics description</w:t>
            </w:r>
          </w:p>
        </w:tc>
        <w:tc>
          <w:tcPr>
            <w:tcW w:w="1105" w:type="dxa"/>
          </w:tcPr>
          <w:p>
            <w:pPr>
              <w:pStyle w:val="56"/>
              <w:rPr>
                <w:b w:val="0"/>
                <w:lang w:eastAsia="ja-JP"/>
              </w:rPr>
            </w:pPr>
            <w:r>
              <w:rPr>
                <w:lang w:eastAsia="ja-JP"/>
              </w:rPr>
              <w:t>Criticality</w:t>
            </w:r>
          </w:p>
        </w:tc>
        <w:tc>
          <w:tcPr>
            <w:tcW w:w="1274" w:type="dxa"/>
          </w:tcPr>
          <w:p>
            <w:pPr>
              <w:pStyle w:val="5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val="en-US" w:eastAsia="ja-JP"/>
              </w:rPr>
            </w:pPr>
            <w:r>
              <w:rPr>
                <w:bCs/>
                <w:highlight w:val="yellow"/>
                <w:lang w:val="en-US" w:eastAsia="ja-JP"/>
              </w:rPr>
              <w:t>Global NG-RAN Node ID</w:t>
            </w:r>
          </w:p>
        </w:tc>
        <w:tc>
          <w:tcPr>
            <w:tcW w:w="1104" w:type="dxa"/>
          </w:tcPr>
          <w:p>
            <w:pPr>
              <w:pStyle w:val="54"/>
              <w:rPr>
                <w:lang w:eastAsia="ja-JP"/>
              </w:rPr>
            </w:pPr>
            <w:r>
              <w:rPr>
                <w:bCs/>
                <w:lang w:eastAsia="ja-JP"/>
              </w:rPr>
              <w:t>M</w:t>
            </w:r>
          </w:p>
        </w:tc>
        <w:tc>
          <w:tcPr>
            <w:tcW w:w="1694" w:type="dxa"/>
          </w:tcPr>
          <w:p>
            <w:pPr>
              <w:pStyle w:val="54"/>
              <w:rPr>
                <w:szCs w:val="18"/>
                <w:lang w:eastAsia="ja-JP"/>
              </w:rPr>
            </w:pPr>
          </w:p>
        </w:tc>
        <w:tc>
          <w:tcPr>
            <w:tcW w:w="1273" w:type="dxa"/>
          </w:tcPr>
          <w:p>
            <w:pPr>
              <w:pStyle w:val="54"/>
              <w:rPr>
                <w:lang w:eastAsia="ja-JP"/>
              </w:rPr>
            </w:pPr>
            <w:r>
              <w:rPr>
                <w:bCs/>
                <w:lang w:eastAsia="ja-JP"/>
              </w:rPr>
              <w:t>9.2.2.3</w:t>
            </w:r>
          </w:p>
        </w:tc>
        <w:tc>
          <w:tcPr>
            <w:tcW w:w="1457" w:type="dxa"/>
          </w:tcPr>
          <w:p>
            <w:pPr>
              <w:pStyle w:val="54"/>
              <w:rPr>
                <w:szCs w:val="18"/>
                <w:lang w:eastAsia="ja-JP"/>
              </w:rPr>
            </w:pPr>
          </w:p>
        </w:tc>
        <w:tc>
          <w:tcPr>
            <w:tcW w:w="1105" w:type="dxa"/>
          </w:tcPr>
          <w:p>
            <w:pPr>
              <w:pStyle w:val="64"/>
              <w:rPr>
                <w:lang w:eastAsia="ja-JP"/>
              </w:rPr>
            </w:pPr>
            <w:r>
              <w:rPr>
                <w:lang w:eastAsia="ja-JP"/>
              </w:rPr>
              <w:t>YES</w:t>
            </w:r>
          </w:p>
        </w:tc>
        <w:tc>
          <w:tcPr>
            <w:tcW w:w="1274" w:type="dxa"/>
          </w:tcPr>
          <w:p>
            <w:pPr>
              <w:pStyle w:val="6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highlight w:val="yellow"/>
              </w:rPr>
              <w:t>TAI</w:t>
            </w:r>
            <w:r>
              <w:t xml:space="preserve"> Support List</w:t>
            </w:r>
          </w:p>
        </w:tc>
        <w:tc>
          <w:tcPr>
            <w:tcW w:w="1104" w:type="dxa"/>
          </w:tcPr>
          <w:p>
            <w:pPr>
              <w:pStyle w:val="54"/>
              <w:rPr>
                <w:bCs/>
                <w:lang w:eastAsia="ja-JP"/>
              </w:rPr>
            </w:pPr>
            <w:r>
              <w:rPr>
                <w:bCs/>
              </w:rPr>
              <w:t>M</w:t>
            </w:r>
          </w:p>
        </w:tc>
        <w:tc>
          <w:tcPr>
            <w:tcW w:w="1694" w:type="dxa"/>
          </w:tcPr>
          <w:p>
            <w:pPr>
              <w:pStyle w:val="54"/>
              <w:rPr>
                <w:bCs/>
                <w:i/>
                <w:lang w:eastAsia="ja-JP"/>
              </w:rPr>
            </w:pPr>
          </w:p>
        </w:tc>
        <w:tc>
          <w:tcPr>
            <w:tcW w:w="1273" w:type="dxa"/>
          </w:tcPr>
          <w:p>
            <w:pPr>
              <w:pStyle w:val="54"/>
              <w:rPr>
                <w:bCs/>
                <w:lang w:eastAsia="ja-JP"/>
              </w:rPr>
            </w:pPr>
            <w:r>
              <w:rPr>
                <w:bCs/>
              </w:rPr>
              <w:t>9.2.3.20</w:t>
            </w:r>
          </w:p>
        </w:tc>
        <w:tc>
          <w:tcPr>
            <w:tcW w:w="1457" w:type="dxa"/>
          </w:tcPr>
          <w:p>
            <w:pPr>
              <w:pStyle w:val="54"/>
              <w:rPr>
                <w:rFonts w:eastAsia="宋体"/>
                <w:bCs/>
                <w:lang w:val="en-US"/>
              </w:rPr>
            </w:pPr>
            <w:r>
              <w:rPr>
                <w:bCs/>
                <w:lang w:val="en-US"/>
              </w:rPr>
              <w:t>List of supported TAs and associated characteristics.</w:t>
            </w:r>
          </w:p>
        </w:tc>
        <w:tc>
          <w:tcPr>
            <w:tcW w:w="1105" w:type="dxa"/>
          </w:tcPr>
          <w:p>
            <w:pPr>
              <w:pStyle w:val="64"/>
              <w:rPr>
                <w:lang w:eastAsia="ja-JP"/>
              </w:rPr>
            </w:pPr>
            <w:r>
              <w:rPr>
                <w:lang w:eastAsia="ja-JP"/>
              </w:rPr>
              <w:t>YES</w:t>
            </w:r>
          </w:p>
        </w:tc>
        <w:tc>
          <w:tcPr>
            <w:tcW w:w="1274" w:type="dxa"/>
          </w:tcPr>
          <w:p>
            <w:pPr>
              <w:pStyle w:val="6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AMF Region Information</w:t>
            </w:r>
          </w:p>
        </w:tc>
        <w:tc>
          <w:tcPr>
            <w:tcW w:w="1104" w:type="dxa"/>
          </w:tcPr>
          <w:p>
            <w:pPr>
              <w:pStyle w:val="54"/>
              <w:rPr>
                <w:bCs/>
                <w:lang w:eastAsia="ja-JP"/>
              </w:rPr>
            </w:pPr>
            <w:r>
              <w:rPr>
                <w:bCs/>
                <w:lang w:eastAsia="ja-JP"/>
              </w:rPr>
              <w:t>M</w:t>
            </w:r>
          </w:p>
        </w:tc>
        <w:tc>
          <w:tcPr>
            <w:tcW w:w="1694" w:type="dxa"/>
          </w:tcPr>
          <w:p>
            <w:pPr>
              <w:pStyle w:val="54"/>
              <w:rPr>
                <w:bCs/>
                <w:i/>
                <w:lang w:eastAsia="ja-JP"/>
              </w:rPr>
            </w:pPr>
          </w:p>
        </w:tc>
        <w:tc>
          <w:tcPr>
            <w:tcW w:w="1273" w:type="dxa"/>
          </w:tcPr>
          <w:p>
            <w:pPr>
              <w:pStyle w:val="54"/>
              <w:rPr>
                <w:bCs/>
                <w:lang w:eastAsia="ja-JP"/>
              </w:rPr>
            </w:pPr>
            <w:r>
              <w:rPr>
                <w:bCs/>
                <w:lang w:eastAsia="ja-JP"/>
              </w:rPr>
              <w:t>9.2.3.83</w:t>
            </w:r>
          </w:p>
        </w:tc>
        <w:tc>
          <w:tcPr>
            <w:tcW w:w="1457" w:type="dxa"/>
          </w:tcPr>
          <w:p>
            <w:pPr>
              <w:pStyle w:val="54"/>
              <w:rPr>
                <w:rFonts w:eastAsia="宋体"/>
                <w:bCs/>
                <w:lang w:val="en-US"/>
              </w:rPr>
            </w:pPr>
            <w:r>
              <w:rPr>
                <w:rFonts w:eastAsia="宋体"/>
                <w:bCs/>
                <w:lang w:val="en-US"/>
              </w:rPr>
              <w:t>Contains a list of all the AMF Regions to which the NG-RAN node belongs.</w:t>
            </w:r>
          </w:p>
        </w:tc>
        <w:tc>
          <w:tcPr>
            <w:tcW w:w="1105" w:type="dxa"/>
          </w:tcPr>
          <w:p>
            <w:pPr>
              <w:pStyle w:val="64"/>
              <w:rPr>
                <w:lang w:eastAsia="ja-JP"/>
              </w:rPr>
            </w:pPr>
            <w:r>
              <w:rPr>
                <w:lang w:eastAsia="ja-JP"/>
              </w:rPr>
              <w:t>YES</w:t>
            </w:r>
          </w:p>
        </w:tc>
        <w:tc>
          <w:tcPr>
            <w:tcW w:w="1274" w:type="dxa"/>
          </w:tcPr>
          <w:p>
            <w:pPr>
              <w:pStyle w:val="6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b/>
                <w:bCs/>
                <w:lang w:val="en-US" w:eastAsia="ja-JP"/>
              </w:rPr>
            </w:pPr>
            <w:r>
              <w:rPr>
                <w:b/>
                <w:lang w:val="en-US" w:eastAsia="ja-JP"/>
              </w:rPr>
              <w:t>List of Served Cells NR</w:t>
            </w:r>
          </w:p>
        </w:tc>
        <w:tc>
          <w:tcPr>
            <w:tcW w:w="1104" w:type="dxa"/>
          </w:tcPr>
          <w:p>
            <w:pPr>
              <w:pStyle w:val="54"/>
              <w:rPr>
                <w:bCs/>
                <w:lang w:val="en-US" w:eastAsia="ja-JP"/>
              </w:rPr>
            </w:pPr>
          </w:p>
        </w:tc>
        <w:tc>
          <w:tcPr>
            <w:tcW w:w="1694" w:type="dxa"/>
          </w:tcPr>
          <w:p>
            <w:pPr>
              <w:pStyle w:val="54"/>
              <w:rPr>
                <w:szCs w:val="18"/>
                <w:lang w:eastAsia="ja-JP"/>
              </w:rPr>
            </w:pPr>
            <w:r>
              <w:rPr>
                <w:bCs/>
                <w:i/>
                <w:lang w:eastAsia="ja-JP"/>
              </w:rPr>
              <w:t>0 .. &lt;maxnoofCellsinNG-RAN node&gt;</w:t>
            </w:r>
          </w:p>
        </w:tc>
        <w:tc>
          <w:tcPr>
            <w:tcW w:w="1273" w:type="dxa"/>
          </w:tcPr>
          <w:p>
            <w:pPr>
              <w:pStyle w:val="54"/>
              <w:rPr>
                <w:bCs/>
                <w:lang w:eastAsia="ja-JP"/>
              </w:rPr>
            </w:pPr>
          </w:p>
        </w:tc>
        <w:tc>
          <w:tcPr>
            <w:tcW w:w="1457" w:type="dxa"/>
          </w:tcPr>
          <w:p>
            <w:pPr>
              <w:pStyle w:val="54"/>
              <w:rPr>
                <w:lang w:val="en-US"/>
              </w:rPr>
            </w:pPr>
            <w:r>
              <w:rPr>
                <w:rFonts w:eastAsia="宋体"/>
                <w:lang w:val="en-US"/>
              </w:rPr>
              <w:t>Contains a list of cells served by the gNB. If a partial list of cells is signalled, it contains at least one cell per carrier configured at the gNB</w:t>
            </w:r>
          </w:p>
        </w:tc>
        <w:tc>
          <w:tcPr>
            <w:tcW w:w="1105" w:type="dxa"/>
          </w:tcPr>
          <w:p>
            <w:pPr>
              <w:pStyle w:val="64"/>
              <w:rPr>
                <w:lang w:eastAsia="ja-JP"/>
              </w:rPr>
            </w:pPr>
            <w:r>
              <w:rPr>
                <w:lang w:eastAsia="ja-JP"/>
              </w:rPr>
              <w:t>YES</w:t>
            </w:r>
          </w:p>
        </w:tc>
        <w:tc>
          <w:tcPr>
            <w:tcW w:w="1274" w:type="dxa"/>
          </w:tcPr>
          <w:p>
            <w:pPr>
              <w:pStyle w:val="6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13"/>
              <w:rPr>
                <w:lang w:eastAsia="ja-JP"/>
              </w:rPr>
            </w:pPr>
            <w:r>
              <w:rPr>
                <w:bCs/>
                <w:lang w:eastAsia="ja-JP"/>
              </w:rPr>
              <w:t>&gt;Served Cell Information NR</w:t>
            </w:r>
          </w:p>
        </w:tc>
        <w:tc>
          <w:tcPr>
            <w:tcW w:w="1104" w:type="dxa"/>
          </w:tcPr>
          <w:p>
            <w:pPr>
              <w:pStyle w:val="54"/>
              <w:rPr>
                <w:bCs/>
                <w:lang w:eastAsia="ja-JP"/>
              </w:rPr>
            </w:pPr>
            <w:r>
              <w:rPr>
                <w:bCs/>
                <w:lang w:eastAsia="ja-JP"/>
              </w:rPr>
              <w:t>M</w:t>
            </w:r>
          </w:p>
        </w:tc>
        <w:tc>
          <w:tcPr>
            <w:tcW w:w="1694" w:type="dxa"/>
          </w:tcPr>
          <w:p>
            <w:pPr>
              <w:pStyle w:val="54"/>
              <w:rPr>
                <w:bCs/>
                <w:i/>
                <w:lang w:eastAsia="ja-JP"/>
              </w:rPr>
            </w:pPr>
          </w:p>
        </w:tc>
        <w:tc>
          <w:tcPr>
            <w:tcW w:w="1273" w:type="dxa"/>
          </w:tcPr>
          <w:p>
            <w:pPr>
              <w:pStyle w:val="54"/>
              <w:rPr>
                <w:bCs/>
                <w:lang w:eastAsia="ja-JP"/>
              </w:rPr>
            </w:pPr>
            <w:r>
              <w:rPr>
                <w:bCs/>
                <w:lang w:eastAsia="ja-JP"/>
              </w:rPr>
              <w:t>9.2.2.11</w:t>
            </w:r>
          </w:p>
        </w:tc>
        <w:tc>
          <w:tcPr>
            <w:tcW w:w="1457" w:type="dxa"/>
          </w:tcPr>
          <w:p>
            <w:pPr>
              <w:pStyle w:val="54"/>
              <w:rPr>
                <w:rFonts w:eastAsia="宋体"/>
                <w:bCs/>
              </w:rPr>
            </w:pPr>
          </w:p>
        </w:tc>
        <w:tc>
          <w:tcPr>
            <w:tcW w:w="1105" w:type="dxa"/>
          </w:tcPr>
          <w:p>
            <w:pPr>
              <w:pStyle w:val="64"/>
              <w:rPr>
                <w:lang w:eastAsia="ja-JP"/>
              </w:rPr>
            </w:pPr>
            <w:r>
              <w:rPr>
                <w:lang w:eastAsia="ja-JP"/>
              </w:rPr>
              <w:t>–</w:t>
            </w:r>
          </w:p>
        </w:tc>
        <w:tc>
          <w:tcPr>
            <w:tcW w:w="1274" w:type="dxa"/>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13"/>
              <w:rPr>
                <w:b/>
                <w:bCs/>
                <w:lang w:eastAsia="ja-JP"/>
              </w:rPr>
            </w:pPr>
            <w:r>
              <w:rPr>
                <w:lang w:eastAsia="ja-JP"/>
              </w:rPr>
              <w:t>&gt;Neighbour Information NR</w:t>
            </w:r>
          </w:p>
        </w:tc>
        <w:tc>
          <w:tcPr>
            <w:tcW w:w="1104" w:type="dxa"/>
          </w:tcPr>
          <w:p>
            <w:pPr>
              <w:pStyle w:val="54"/>
              <w:rPr>
                <w:bCs/>
                <w:lang w:eastAsia="ja-JP"/>
              </w:rPr>
            </w:pPr>
            <w:r>
              <w:rPr>
                <w:bCs/>
                <w:lang w:eastAsia="ja-JP"/>
              </w:rPr>
              <w:t>O</w:t>
            </w:r>
          </w:p>
        </w:tc>
        <w:tc>
          <w:tcPr>
            <w:tcW w:w="1694" w:type="dxa"/>
          </w:tcPr>
          <w:p>
            <w:pPr>
              <w:pStyle w:val="54"/>
              <w:rPr>
                <w:bCs/>
                <w:i/>
                <w:lang w:eastAsia="ja-JP"/>
              </w:rPr>
            </w:pPr>
          </w:p>
        </w:tc>
        <w:tc>
          <w:tcPr>
            <w:tcW w:w="1273" w:type="dxa"/>
          </w:tcPr>
          <w:p>
            <w:pPr>
              <w:pStyle w:val="54"/>
              <w:rPr>
                <w:bCs/>
                <w:lang w:eastAsia="ja-JP"/>
              </w:rPr>
            </w:pPr>
            <w:r>
              <w:rPr>
                <w:rFonts w:eastAsia="MS Mincho" w:cs="Arial"/>
                <w:bCs/>
                <w:lang w:eastAsia="ja-JP"/>
              </w:rPr>
              <w:t>9.2.2.13</w:t>
            </w:r>
          </w:p>
        </w:tc>
        <w:tc>
          <w:tcPr>
            <w:tcW w:w="1457" w:type="dxa"/>
          </w:tcPr>
          <w:p>
            <w:pPr>
              <w:pStyle w:val="54"/>
              <w:rPr>
                <w:rFonts w:eastAsia="宋体"/>
                <w:bCs/>
              </w:rPr>
            </w:pPr>
          </w:p>
        </w:tc>
        <w:tc>
          <w:tcPr>
            <w:tcW w:w="1105" w:type="dxa"/>
          </w:tcPr>
          <w:p>
            <w:pPr>
              <w:pStyle w:val="64"/>
              <w:rPr>
                <w:lang w:eastAsia="ja-JP"/>
              </w:rPr>
            </w:pPr>
            <w:r>
              <w:rPr>
                <w:lang w:eastAsia="ja-JP"/>
              </w:rPr>
              <w:t>–</w:t>
            </w:r>
          </w:p>
        </w:tc>
        <w:tc>
          <w:tcPr>
            <w:tcW w:w="1274" w:type="dxa"/>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13"/>
              <w:rPr>
                <w:lang w:eastAsia="ja-JP"/>
              </w:rPr>
            </w:pPr>
            <w:r>
              <w:rPr>
                <w:lang w:eastAsia="ja-JP"/>
              </w:rPr>
              <w:t>&gt;Neighbour Information E-UTRA</w:t>
            </w:r>
          </w:p>
        </w:tc>
        <w:tc>
          <w:tcPr>
            <w:tcW w:w="1104" w:type="dxa"/>
          </w:tcPr>
          <w:p>
            <w:pPr>
              <w:pStyle w:val="54"/>
              <w:rPr>
                <w:bCs/>
                <w:lang w:eastAsia="ja-JP"/>
              </w:rPr>
            </w:pPr>
            <w:r>
              <w:rPr>
                <w:bCs/>
                <w:lang w:eastAsia="ja-JP"/>
              </w:rPr>
              <w:t>O</w:t>
            </w:r>
          </w:p>
        </w:tc>
        <w:tc>
          <w:tcPr>
            <w:tcW w:w="1694" w:type="dxa"/>
          </w:tcPr>
          <w:p>
            <w:pPr>
              <w:pStyle w:val="54"/>
              <w:rPr>
                <w:bCs/>
                <w:i/>
                <w:lang w:eastAsia="ja-JP"/>
              </w:rPr>
            </w:pPr>
          </w:p>
        </w:tc>
        <w:tc>
          <w:tcPr>
            <w:tcW w:w="1273" w:type="dxa"/>
          </w:tcPr>
          <w:p>
            <w:pPr>
              <w:pStyle w:val="54"/>
              <w:rPr>
                <w:bCs/>
                <w:lang w:eastAsia="ja-JP"/>
              </w:rPr>
            </w:pPr>
            <w:r>
              <w:rPr>
                <w:rFonts w:eastAsia="MS Mincho" w:cs="Arial"/>
                <w:bCs/>
                <w:lang w:eastAsia="ja-JP"/>
              </w:rPr>
              <w:t>9.2.2.14</w:t>
            </w:r>
          </w:p>
        </w:tc>
        <w:tc>
          <w:tcPr>
            <w:tcW w:w="1457" w:type="dxa"/>
          </w:tcPr>
          <w:p>
            <w:pPr>
              <w:pStyle w:val="54"/>
              <w:rPr>
                <w:rFonts w:eastAsia="宋体"/>
                <w:bCs/>
              </w:rPr>
            </w:pPr>
          </w:p>
        </w:tc>
        <w:tc>
          <w:tcPr>
            <w:tcW w:w="1105" w:type="dxa"/>
          </w:tcPr>
          <w:p>
            <w:pPr>
              <w:pStyle w:val="64"/>
              <w:rPr>
                <w:lang w:eastAsia="ja-JP"/>
              </w:rPr>
            </w:pPr>
            <w:r>
              <w:rPr>
                <w:lang w:eastAsia="ja-JP"/>
              </w:rPr>
              <w:t>–</w:t>
            </w:r>
          </w:p>
        </w:tc>
        <w:tc>
          <w:tcPr>
            <w:tcW w:w="1274" w:type="dxa"/>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13"/>
              <w:rPr>
                <w:lang w:val="en-US" w:eastAsia="ja-JP"/>
              </w:rPr>
            </w:pPr>
            <w:r>
              <w:rPr>
                <w:lang w:val="fr-FR"/>
              </w:rPr>
              <w:t>&gt;Served Cell Specific Info Request</w:t>
            </w:r>
          </w:p>
        </w:tc>
        <w:tc>
          <w:tcPr>
            <w:tcW w:w="1104" w:type="dxa"/>
          </w:tcPr>
          <w:p>
            <w:pPr>
              <w:pStyle w:val="54"/>
              <w:rPr>
                <w:bCs/>
                <w:lang w:eastAsia="ja-JP"/>
              </w:rPr>
            </w:pPr>
            <w:r>
              <w:rPr>
                <w:bCs/>
                <w:lang w:val="fr-FR"/>
              </w:rPr>
              <w:t>O</w:t>
            </w:r>
          </w:p>
        </w:tc>
        <w:tc>
          <w:tcPr>
            <w:tcW w:w="1694" w:type="dxa"/>
          </w:tcPr>
          <w:p>
            <w:pPr>
              <w:pStyle w:val="54"/>
              <w:rPr>
                <w:bCs/>
                <w:i/>
                <w:lang w:eastAsia="ja-JP"/>
              </w:rPr>
            </w:pPr>
          </w:p>
        </w:tc>
        <w:tc>
          <w:tcPr>
            <w:tcW w:w="1273" w:type="dxa"/>
          </w:tcPr>
          <w:p>
            <w:pPr>
              <w:pStyle w:val="54"/>
              <w:rPr>
                <w:rFonts w:eastAsia="MS Mincho" w:cs="Arial"/>
                <w:bCs/>
                <w:lang w:eastAsia="ja-JP"/>
              </w:rPr>
            </w:pPr>
            <w:r>
              <w:rPr>
                <w:bCs/>
                <w:lang w:val="fr-FR"/>
              </w:rPr>
              <w:t>9.2.2.102</w:t>
            </w:r>
          </w:p>
        </w:tc>
        <w:tc>
          <w:tcPr>
            <w:tcW w:w="1457" w:type="dxa"/>
          </w:tcPr>
          <w:p>
            <w:pPr>
              <w:pStyle w:val="54"/>
              <w:rPr>
                <w:rFonts w:eastAsia="宋体"/>
                <w:bCs/>
              </w:rPr>
            </w:pPr>
          </w:p>
        </w:tc>
        <w:tc>
          <w:tcPr>
            <w:tcW w:w="1105" w:type="dxa"/>
          </w:tcPr>
          <w:p>
            <w:pPr>
              <w:pStyle w:val="64"/>
              <w:rPr>
                <w:lang w:eastAsia="ja-JP"/>
              </w:rPr>
            </w:pPr>
            <w:r>
              <w:rPr>
                <w:lang w:val="fr-FR" w:eastAsia="ja-JP"/>
              </w:rPr>
              <w:t>YES</w:t>
            </w:r>
          </w:p>
        </w:tc>
        <w:tc>
          <w:tcPr>
            <w:tcW w:w="1274" w:type="dxa"/>
          </w:tcPr>
          <w:p>
            <w:pPr>
              <w:pStyle w:val="64"/>
              <w:rPr>
                <w:lang w:eastAsia="ja-JP"/>
              </w:rPr>
            </w:pPr>
            <w:r>
              <w:rPr>
                <w:lang w:val="fr-FR" w:eastAsia="ja-JP"/>
              </w:rPr>
              <w:t>ignore</w:t>
            </w:r>
          </w:p>
        </w:tc>
      </w:tr>
    </w:tbl>
    <w:p>
      <w:pPr>
        <w:rPr>
          <w:rFonts w:hint="eastAsia" w:ascii="Times New Roman" w:hAnsi="Times New Roman" w:eastAsia="等线"/>
          <w:bCs/>
          <w:sz w:val="22"/>
          <w:szCs w:val="22"/>
        </w:rPr>
      </w:pPr>
    </w:p>
    <w:p>
      <w:pPr>
        <w:rPr>
          <w:rFonts w:hint="eastAsia" w:ascii="Times New Roman" w:hAnsi="Times New Roman" w:eastAsia="等线"/>
          <w:bCs/>
          <w:sz w:val="22"/>
          <w:szCs w:val="22"/>
        </w:rPr>
      </w:pPr>
      <w:r>
        <w:rPr>
          <w:rFonts w:ascii="Times New Roman" w:hAnsi="Times New Roman" w:eastAsia="等线"/>
          <w:bCs/>
          <w:sz w:val="22"/>
          <w:szCs w:val="22"/>
        </w:rPr>
        <w:t>That is to say, actually, MN can check the QoE area scope about whether SN is in the list or not and vice versa. SN can send a simple indication to MN so that MN does the final decision on configuring the UE which MN should inform SN about the decision on whether the UE is configured or not. This ensures that both MN and SN know the configuration of the UE, and facilitates subsequent receipt of the UE's QoE measurement report.</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MN and SN receive a same QoE measurement, SN sends an indication to MN, while MN decides whether to configure the UE and sends the decision back to SN. </w:t>
      </w:r>
    </w:p>
    <w:p>
      <w:pPr>
        <w:rPr>
          <w:rFonts w:hint="eastAsia" w:ascii="Times New Roman" w:hAnsi="Times New Roman" w:eastAsia="等线"/>
          <w:b/>
          <w:bCs/>
          <w:sz w:val="22"/>
          <w:szCs w:val="22"/>
        </w:rPr>
      </w:pPr>
    </w:p>
    <w:p>
      <w:pPr>
        <w:rPr>
          <w:rFonts w:ascii="Times New Roman" w:hAnsi="Times New Roman" w:eastAsia="等线"/>
          <w:bCs/>
          <w:sz w:val="22"/>
          <w:szCs w:val="22"/>
        </w:rPr>
      </w:pPr>
      <w:r>
        <w:rPr>
          <w:rFonts w:ascii="Times New Roman" w:hAnsi="Times New Roman" w:eastAsia="等线"/>
          <w:bCs/>
          <w:sz w:val="22"/>
          <w:szCs w:val="22"/>
        </w:rPr>
        <w:t>Regarding b), if only MN checks the area scope and finds out that SN is not in that scope, MN can directly configure the UE and informs SN about the QoE configuration information to make sure SN can receive the QoE report.</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only MN is in the QoE measurement area scope, MN configures the UE and sends the QoE configuration information to SN. </w:t>
      </w:r>
    </w:p>
    <w:p>
      <w:pPr>
        <w:rPr>
          <w:rFonts w:ascii="Times New Roman" w:hAnsi="Times New Roman" w:eastAsia="等线"/>
          <w:bCs/>
          <w:sz w:val="22"/>
          <w:szCs w:val="22"/>
        </w:rPr>
      </w:pPr>
    </w:p>
    <w:p>
      <w:pPr>
        <w:rPr>
          <w:rFonts w:hint="default" w:ascii="Times New Roman" w:hAnsi="Times New Roman" w:eastAsia="等线"/>
          <w:bCs/>
          <w:sz w:val="22"/>
          <w:szCs w:val="22"/>
          <w:lang w:val="en-US" w:eastAsia="zh-CN"/>
        </w:rPr>
      </w:pPr>
      <w:r>
        <w:rPr>
          <w:rFonts w:ascii="Times New Roman" w:hAnsi="Times New Roman" w:eastAsia="等线"/>
          <w:bCs/>
          <w:sz w:val="22"/>
          <w:szCs w:val="22"/>
        </w:rPr>
        <w:t xml:space="preserve">Regarding c), SN checks the area scope and notices that MN has no idea of this QoE measurement, then SN can decide to configure the UE and send the corresponding QoE configuration information to MN. </w:t>
      </w:r>
      <w:r>
        <w:rPr>
          <w:rFonts w:hint="eastAsia" w:ascii="Times New Roman" w:hAnsi="Times New Roman" w:eastAsia="等线"/>
          <w:bCs/>
          <w:sz w:val="22"/>
          <w:szCs w:val="22"/>
          <w:lang w:val="en-US" w:eastAsia="zh-CN"/>
        </w:rPr>
        <w:t>It is because the MN will need to receive the QoE report, and MN will also need to generate RVQoE configuration.</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only SN is in the QoE measurement area scope, SN sends the QoE configuration information to MN. </w:t>
      </w:r>
    </w:p>
    <w:p>
      <w:pPr>
        <w:rPr>
          <w:rFonts w:ascii="Times New Roman" w:hAnsi="Times New Roman" w:eastAsia="等线"/>
          <w:b/>
          <w:bCs/>
          <w:sz w:val="22"/>
          <w:szCs w:val="22"/>
        </w:rPr>
      </w:pPr>
    </w:p>
    <w:p>
      <w:pPr>
        <w:pStyle w:val="3"/>
        <w:rPr>
          <w:rFonts w:ascii="Times New Roman" w:hAnsi="Times New Roman" w:cs="Times New Roman"/>
          <w:lang w:val="en-US"/>
        </w:rPr>
      </w:pPr>
      <w:r>
        <w:rPr>
          <w:rFonts w:hint="eastAsia" w:ascii="Times New Roman" w:hAnsi="Times New Roman" w:cs="Times New Roman"/>
          <w:lang w:val="en-US"/>
        </w:rPr>
        <w:t xml:space="preserve">QoE </w:t>
      </w:r>
      <w:r>
        <w:rPr>
          <w:rFonts w:ascii="Times New Roman" w:hAnsi="Times New Roman" w:cs="Times New Roman"/>
          <w:lang w:val="en-US"/>
        </w:rPr>
        <w:t>reporting</w:t>
      </w:r>
      <w:r>
        <w:rPr>
          <w:rFonts w:hint="eastAsia" w:ascii="Times New Roman" w:hAnsi="Times New Roman" w:cs="Times New Roman"/>
          <w:lang w:val="en-US"/>
        </w:rPr>
        <w:t xml:space="preserve"> in NR-DC </w:t>
      </w:r>
    </w:p>
    <w:p>
      <w:pPr>
        <w:rPr>
          <w:rFonts w:hint="eastAsia" w:ascii="Times New Roman" w:hAnsi="Times New Roman" w:eastAsia="等线"/>
          <w:bCs/>
          <w:sz w:val="22"/>
          <w:szCs w:val="22"/>
        </w:rPr>
      </w:pPr>
      <w:r>
        <w:rPr>
          <w:rFonts w:ascii="Times New Roman" w:hAnsi="Times New Roman" w:eastAsia="等线"/>
          <w:bCs/>
          <w:sz w:val="22"/>
          <w:szCs w:val="22"/>
        </w:rPr>
        <w:t xml:space="preserve">Generally speaking, the node configured for QoE measurement will receive the corresponding QoE measurement report. But in RAN overload scenario, the configured node does not have enough resources to provide the UE reporting its QoE report, and another leg may help the situation. </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UE can transmit the QoE report over SN </w:t>
      </w:r>
      <w:r>
        <w:rPr>
          <w:rFonts w:hint="eastAsia" w:ascii="Times New Roman" w:hAnsi="Times New Roman" w:eastAsia="等线"/>
          <w:b/>
          <w:bCs/>
          <w:sz w:val="22"/>
          <w:szCs w:val="22"/>
          <w:lang w:val="en-US" w:eastAsia="zh-CN"/>
        </w:rPr>
        <w:t xml:space="preserve">after receiving </w:t>
      </w:r>
      <w:r>
        <w:rPr>
          <w:rFonts w:ascii="Times New Roman" w:hAnsi="Times New Roman" w:eastAsia="等线"/>
          <w:b/>
          <w:bCs/>
          <w:sz w:val="22"/>
          <w:szCs w:val="22"/>
          <w:lang w:val="en-US"/>
        </w:rPr>
        <w:t>the indication from gNB.</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In RAN3#117e meeting, the following </w:t>
      </w:r>
      <w:r>
        <w:rPr>
          <w:rFonts w:ascii="Times New Roman" w:hAnsi="Times New Roman" w:eastAsia="等线"/>
          <w:bCs/>
          <w:sz w:val="22"/>
          <w:szCs w:val="22"/>
          <w:lang w:val="en-US"/>
        </w:rPr>
        <w:t>WA has been made:</w:t>
      </w:r>
    </w:p>
    <w:p>
      <w:pPr>
        <w:rPr>
          <w:rFonts w:ascii="Calibri" w:hAnsi="Calibri" w:cs="Calibri"/>
          <w:b/>
          <w:color w:val="008000"/>
          <w:sz w:val="18"/>
          <w:lang w:eastAsia="en-US"/>
        </w:rPr>
      </w:pPr>
      <w:r>
        <w:rPr>
          <w:rFonts w:ascii="Calibri" w:hAnsi="Calibri" w:cs="Calibri"/>
          <w:b/>
          <w:color w:val="008000"/>
          <w:sz w:val="18"/>
          <w:lang w:eastAsia="en-US"/>
        </w:rPr>
        <w:t>WA: If QoE reports are received by the SN, SN can forward the QoE reports to MCE directly.</w:t>
      </w:r>
    </w:p>
    <w:p>
      <w:pPr>
        <w:rPr>
          <w:rFonts w:ascii="Times New Roman" w:hAnsi="Times New Roman" w:eastAsia="等线"/>
          <w:bCs/>
          <w:sz w:val="22"/>
          <w:szCs w:val="22"/>
        </w:rPr>
      </w:pPr>
      <w:r>
        <w:rPr>
          <w:rFonts w:ascii="Times New Roman" w:hAnsi="Times New Roman" w:eastAsia="等线"/>
          <w:bCs/>
          <w:sz w:val="22"/>
          <w:szCs w:val="22"/>
        </w:rPr>
        <w:t>Considering the simple way to implement, SN doesn’t have to pass the QoE reports to MN again, just directly forward to MCE, which means that SN should be aware of the MCE IP address of each QoE measurement.</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ascii="Times New Roman" w:hAnsi="Times New Roman" w:eastAsia="等线"/>
          <w:b/>
          <w:sz w:val="22"/>
          <w:szCs w:val="22"/>
          <w:lang w:val="en-US"/>
        </w:rPr>
        <w:t>: The WA:</w:t>
      </w:r>
      <w:r>
        <w:t xml:space="preserve"> “</w:t>
      </w:r>
      <w:r>
        <w:rPr>
          <w:rFonts w:ascii="Times New Roman" w:hAnsi="Times New Roman" w:eastAsia="等线"/>
          <w:b/>
          <w:sz w:val="22"/>
          <w:szCs w:val="22"/>
          <w:lang w:val="en-US"/>
        </w:rPr>
        <w:t xml:space="preserve">If QoE reports are received by the SN, SN can forward the QoE reports to MCE directly” should be turned to an agreement. </w:t>
      </w:r>
    </w:p>
    <w:p>
      <w:pPr>
        <w:rPr>
          <w:rFonts w:ascii="Times New Roman" w:hAnsi="Times New Roman" w:eastAsia="等线"/>
          <w:bCs/>
          <w:sz w:val="22"/>
          <w:szCs w:val="22"/>
        </w:rPr>
      </w:pPr>
      <w:r>
        <w:rPr>
          <w:rFonts w:ascii="Times New Roman" w:hAnsi="Times New Roman" w:eastAsia="等线"/>
          <w:bCs/>
          <w:sz w:val="22"/>
          <w:szCs w:val="22"/>
        </w:rPr>
        <w:t xml:space="preserve"> </w:t>
      </w:r>
    </w:p>
    <w:p>
      <w:pPr>
        <w:rPr>
          <w:rFonts w:hint="eastAsia"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RAN visible </w:t>
      </w:r>
      <w:r>
        <w:rPr>
          <w:rFonts w:hint="eastAsia" w:ascii="Times New Roman" w:hAnsi="Times New Roman" w:cs="Times New Roman"/>
          <w:lang w:val="en-US"/>
        </w:rPr>
        <w:t>QoE configuration</w:t>
      </w: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R17, RAN visible QoE is configured with separate periodicity, and will not be paused even though the corresponding non RAN visible application layer measurement reporting is paused. RAN visible QoE is configured by the gNB according to the gNB</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s requirements, in RAN3#117e meeting, it has the following WA:</w:t>
      </w:r>
    </w:p>
    <w:p>
      <w:pPr>
        <w:contextualSpacing/>
        <w:rPr>
          <w:rFonts w:ascii="Calibri" w:hAnsi="Calibri" w:cs="Calibri"/>
          <w:b/>
          <w:color w:val="008000"/>
          <w:sz w:val="18"/>
          <w:lang w:eastAsia="en-US"/>
        </w:rPr>
      </w:pPr>
      <w:r>
        <w:rPr>
          <w:rFonts w:ascii="Calibri" w:hAnsi="Calibri" w:cs="Calibri"/>
          <w:b/>
          <w:color w:val="008000"/>
          <w:sz w:val="18"/>
          <w:lang w:eastAsia="en-US"/>
        </w:rPr>
        <w:t>WA: MN and SN can generate RVQoE configurations.</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Since MN and SN will have different requirements for RVQoE, e.g. MN and SN may interest with different RVQoE metrics, MN and SN may need to configure the RVQoE in different time with different periodicity, therefore, MN and SN shall generate RVQoE configuration separately according to their own requirements in any time after the encapsulated QoE configuration is configured.</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MN and SN can generate RVQoE configurations. Two </w:t>
      </w:r>
      <w:r>
        <w:rPr>
          <w:rFonts w:hint="eastAsia" w:ascii="Times New Roman" w:hAnsi="Times New Roman" w:eastAsia="等线"/>
          <w:b/>
          <w:sz w:val="22"/>
          <w:szCs w:val="22"/>
          <w:lang w:val="en-US" w:eastAsia="zh-CN"/>
        </w:rPr>
        <w:t xml:space="preserve">individual </w:t>
      </w:r>
      <w:r>
        <w:rPr>
          <w:rFonts w:hint="eastAsia" w:ascii="Times New Roman" w:hAnsi="Times New Roman" w:eastAsia="等线"/>
          <w:b/>
          <w:sz w:val="22"/>
          <w:szCs w:val="22"/>
          <w:lang w:val="en-US"/>
        </w:rPr>
        <w:t>RVQoE configurations can be generate</w:t>
      </w:r>
      <w:r>
        <w:rPr>
          <w:rFonts w:hint="eastAsia" w:ascii="Times New Roman" w:hAnsi="Times New Roman" w:eastAsia="等线"/>
          <w:b/>
          <w:sz w:val="22"/>
          <w:szCs w:val="22"/>
          <w:lang w:val="en-US" w:eastAsia="zh-CN"/>
        </w:rPr>
        <w:t>d</w:t>
      </w:r>
      <w:r>
        <w:rPr>
          <w:rFonts w:hint="eastAsia" w:ascii="Times New Roman" w:hAnsi="Times New Roman" w:eastAsia="等线"/>
          <w:b/>
          <w:sz w:val="22"/>
          <w:szCs w:val="22"/>
          <w:lang w:val="en-US"/>
        </w:rPr>
        <w:t xml:space="preserve"> with different measConfigAppLayerId which is allocated by MN and SN separately.</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RAN3#117e meeting, it has the following agreement:</w:t>
      </w:r>
    </w:p>
    <w:p>
      <w:pPr>
        <w:rPr>
          <w:rFonts w:ascii="Times New Roman" w:hAnsi="Times New Roman" w:eastAsia="等线"/>
          <w:bCs/>
          <w:sz w:val="22"/>
          <w:szCs w:val="22"/>
          <w:lang w:val="en-US"/>
        </w:rPr>
      </w:pPr>
      <w:r>
        <w:rPr>
          <w:rFonts w:ascii="Calibri" w:hAnsi="Calibri" w:cs="Calibri"/>
          <w:b/>
          <w:color w:val="008000"/>
          <w:sz w:val="18"/>
          <w:lang w:eastAsia="en-US"/>
        </w:rPr>
        <w:t>MN and SN should coordinate about configuring a dual-connected UE with RVQoE measurements. The details of the coordination are FFS.</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For RVQoE configuration coordination between MN and SN, the following scenarios can be considered:</w:t>
      </w:r>
    </w:p>
    <w:p>
      <w:pPr>
        <w:numPr>
          <w:ilvl w:val="0"/>
          <w:numId w:val="9"/>
        </w:numPr>
        <w:rPr>
          <w:rFonts w:ascii="Times New Roman" w:hAnsi="Times New Roman" w:eastAsia="等线"/>
          <w:bCs/>
          <w:sz w:val="22"/>
          <w:szCs w:val="22"/>
          <w:lang w:val="en-US"/>
        </w:rPr>
      </w:pPr>
      <w:r>
        <w:rPr>
          <w:rFonts w:hint="eastAsia" w:ascii="Times New Roman" w:hAnsi="Times New Roman" w:eastAsia="等线"/>
          <w:bCs/>
          <w:sz w:val="22"/>
          <w:szCs w:val="22"/>
          <w:lang w:val="en-US"/>
        </w:rPr>
        <w:t>If the QoE configuration is received by the MN (for both s-based QoE configuration and m-based QoE configuration):</w:t>
      </w:r>
    </w:p>
    <w:p>
      <w:pPr>
        <w:numPr>
          <w:ilvl w:val="0"/>
          <w:numId w:val="10"/>
        </w:num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MN can forward the QoE configuration to SN, including </w:t>
      </w:r>
      <w:r>
        <w:rPr>
          <w:rFonts w:hint="eastAsia" w:ascii="Times New Roman" w:hAnsi="Times New Roman" w:eastAsia="等线"/>
          <w:b/>
          <w:sz w:val="22"/>
          <w:szCs w:val="22"/>
          <w:lang w:val="en-US"/>
        </w:rPr>
        <w:t>QoE reference ID</w:t>
      </w:r>
      <w:r>
        <w:rPr>
          <w:rFonts w:hint="eastAsia" w:ascii="Times New Roman" w:hAnsi="Times New Roman" w:eastAsia="等线"/>
          <w:bCs/>
          <w:sz w:val="22"/>
          <w:szCs w:val="22"/>
          <w:lang w:val="en-US" w:eastAsia="zh-CN"/>
        </w:rPr>
        <w:t>,</w:t>
      </w:r>
      <w:r>
        <w:rPr>
          <w:rFonts w:hint="eastAsia" w:ascii="Times New Roman" w:hAnsi="Times New Roman" w:eastAsia="等线"/>
          <w:bCs/>
          <w:sz w:val="22"/>
          <w:szCs w:val="22"/>
          <w:lang w:val="en-US"/>
        </w:rPr>
        <w:t xml:space="preserve"> </w:t>
      </w:r>
      <w:r>
        <w:rPr>
          <w:rFonts w:hint="eastAsia" w:ascii="Times New Roman" w:hAnsi="Times New Roman" w:eastAsia="等线"/>
          <w:b/>
          <w:sz w:val="22"/>
          <w:szCs w:val="22"/>
          <w:lang w:val="en-US"/>
        </w:rPr>
        <w:t>available RVQoE metrics</w:t>
      </w:r>
      <w:r>
        <w:rPr>
          <w:rFonts w:hint="eastAsia" w:ascii="Times New Roman" w:hAnsi="Times New Roman" w:eastAsia="等线"/>
          <w:b/>
          <w:sz w:val="22"/>
          <w:szCs w:val="22"/>
          <w:lang w:val="en-US" w:eastAsia="zh-CN"/>
        </w:rPr>
        <w:t>, etc</w:t>
      </w:r>
      <w:r>
        <w:rPr>
          <w:rFonts w:hint="eastAsia" w:ascii="Times New Roman" w:hAnsi="Times New Roman" w:eastAsia="等线"/>
          <w:bCs/>
          <w:sz w:val="22"/>
          <w:szCs w:val="22"/>
          <w:lang w:val="en-US"/>
        </w:rPr>
        <w:t>.</w:t>
      </w:r>
    </w:p>
    <w:p>
      <w:pPr>
        <w:numPr>
          <w:ilvl w:val="0"/>
          <w:numId w:val="10"/>
        </w:numPr>
        <w:rPr>
          <w:rFonts w:ascii="Times New Roman" w:hAnsi="Times New Roman" w:eastAsia="等线"/>
          <w:bCs/>
          <w:sz w:val="22"/>
          <w:szCs w:val="22"/>
          <w:lang w:val="en-US"/>
        </w:rPr>
      </w:pPr>
      <w:r>
        <w:rPr>
          <w:rFonts w:hint="eastAsia" w:ascii="Times New Roman" w:hAnsi="Times New Roman" w:eastAsia="等线"/>
          <w:bCs/>
          <w:sz w:val="22"/>
          <w:szCs w:val="22"/>
          <w:lang w:val="en-US"/>
        </w:rPr>
        <w:t>SN can generate the RAN visible QoE configuration and send the configuration back to MN along with the QoE reference ID and the allocated measConfigAppLayerId.</w:t>
      </w:r>
    </w:p>
    <w:p>
      <w:pPr>
        <w:numPr>
          <w:ilvl w:val="0"/>
          <w:numId w:val="10"/>
        </w:numPr>
        <w:rPr>
          <w:rFonts w:ascii="Times New Roman" w:hAnsi="Times New Roman" w:eastAsia="等线"/>
          <w:bCs/>
          <w:sz w:val="22"/>
          <w:szCs w:val="22"/>
          <w:lang w:val="en-US"/>
        </w:rPr>
      </w:pPr>
      <w:r>
        <w:rPr>
          <w:rFonts w:hint="eastAsia" w:ascii="Times New Roman" w:hAnsi="Times New Roman" w:eastAsia="等线"/>
          <w:bCs/>
          <w:sz w:val="22"/>
          <w:szCs w:val="22"/>
          <w:lang w:val="en-US"/>
        </w:rPr>
        <w:t>MN configures the RVQoE configuration for MN and SN.</w:t>
      </w:r>
    </w:p>
    <w:p>
      <w:pPr>
        <w:numPr>
          <w:ilvl w:val="0"/>
          <w:numId w:val="9"/>
        </w:numPr>
        <w:rPr>
          <w:rFonts w:ascii="Times New Roman" w:hAnsi="Times New Roman" w:eastAsia="等线"/>
          <w:bCs/>
          <w:sz w:val="22"/>
          <w:szCs w:val="22"/>
          <w:lang w:val="en-US"/>
        </w:rPr>
      </w:pPr>
      <w:r>
        <w:rPr>
          <w:rFonts w:hint="eastAsia" w:ascii="Times New Roman" w:hAnsi="Times New Roman" w:eastAsia="等线"/>
          <w:bCs/>
          <w:sz w:val="22"/>
          <w:szCs w:val="22"/>
          <w:lang w:val="en-US"/>
        </w:rPr>
        <w:t>If the QoE configuration is received by the SN:</w:t>
      </w:r>
    </w:p>
    <w:p>
      <w:pPr>
        <w:numPr>
          <w:ilvl w:val="0"/>
          <w:numId w:val="11"/>
        </w:numPr>
        <w:rPr>
          <w:rFonts w:ascii="Times New Roman" w:hAnsi="Times New Roman" w:eastAsia="等线"/>
          <w:bCs/>
          <w:sz w:val="22"/>
          <w:szCs w:val="22"/>
          <w:lang w:val="en-US"/>
        </w:rPr>
      </w:pPr>
      <w:r>
        <w:rPr>
          <w:rFonts w:hint="eastAsia" w:ascii="Times New Roman" w:hAnsi="Times New Roman" w:eastAsia="等线"/>
          <w:bCs/>
          <w:sz w:val="22"/>
          <w:szCs w:val="22"/>
          <w:lang w:val="en-US"/>
        </w:rPr>
        <w:t>SN can forward the QoE configuration to MN, including QoE configuration container, QoE reference ID and available RVQoE metrics.</w:t>
      </w:r>
    </w:p>
    <w:p>
      <w:pPr>
        <w:numPr>
          <w:ilvl w:val="0"/>
          <w:numId w:val="11"/>
        </w:num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MN make the final decision for the UE selection, if the QoE configuration received by SN is finally decided to configure to UE, MN will send the </w:t>
      </w:r>
      <w:r>
        <w:rPr>
          <w:rFonts w:hint="eastAsia" w:ascii="Times New Roman" w:hAnsi="Times New Roman" w:eastAsia="等线"/>
          <w:b/>
          <w:sz w:val="22"/>
          <w:szCs w:val="22"/>
          <w:lang w:val="en-US"/>
        </w:rPr>
        <w:t>QoE reference ID</w:t>
      </w:r>
      <w:r>
        <w:rPr>
          <w:rFonts w:hint="eastAsia" w:ascii="Times New Roman" w:hAnsi="Times New Roman" w:eastAsia="等线"/>
          <w:bCs/>
          <w:sz w:val="22"/>
          <w:szCs w:val="22"/>
          <w:lang w:val="en-US"/>
        </w:rPr>
        <w:t xml:space="preserve"> back to SN;</w:t>
      </w:r>
    </w:p>
    <w:p>
      <w:pPr>
        <w:numPr>
          <w:ilvl w:val="0"/>
          <w:numId w:val="11"/>
        </w:numPr>
        <w:rPr>
          <w:rFonts w:ascii="Times New Roman" w:hAnsi="Times New Roman" w:eastAsia="等线"/>
          <w:bCs/>
          <w:sz w:val="22"/>
          <w:szCs w:val="22"/>
          <w:lang w:val="en-US"/>
        </w:rPr>
      </w:pPr>
      <w:r>
        <w:rPr>
          <w:rFonts w:hint="eastAsia" w:ascii="Times New Roman" w:hAnsi="Times New Roman" w:eastAsia="等线"/>
          <w:bCs/>
          <w:sz w:val="22"/>
          <w:szCs w:val="22"/>
          <w:lang w:val="en-US"/>
        </w:rPr>
        <w:t>The following steps will be the same with b) and c) in 1).</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If the QoE configuration is received by the MN, MN will send the QoE </w:t>
      </w:r>
      <w:r>
        <w:rPr>
          <w:rFonts w:hint="eastAsia" w:ascii="Times New Roman" w:hAnsi="Times New Roman" w:eastAsia="等线"/>
          <w:b/>
          <w:sz w:val="22"/>
          <w:szCs w:val="22"/>
          <w:lang w:val="en-US" w:eastAsia="zh-CN"/>
        </w:rPr>
        <w:t>configuration</w:t>
      </w:r>
      <w:r>
        <w:rPr>
          <w:rFonts w:hint="eastAsia" w:ascii="Times New Roman" w:hAnsi="Times New Roman" w:eastAsia="等线"/>
          <w:b/>
          <w:sz w:val="22"/>
          <w:szCs w:val="22"/>
          <w:lang w:val="en-US"/>
        </w:rPr>
        <w:t xml:space="preserve"> to SN</w:t>
      </w:r>
      <w:r>
        <w:rPr>
          <w:rFonts w:hint="eastAsia" w:ascii="Times New Roman" w:hAnsi="Times New Roman" w:eastAsia="等线"/>
          <w:b/>
          <w:sz w:val="22"/>
          <w:szCs w:val="22"/>
          <w:lang w:val="en-US" w:eastAsia="zh-CN"/>
        </w:rPr>
        <w:t>, details are FFS</w:t>
      </w:r>
      <w:r>
        <w:rPr>
          <w:rFonts w:hint="eastAsia" w:ascii="Times New Roman" w:hAnsi="Times New Roman" w:eastAsia="等线"/>
          <w:b/>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SN generate RVQoE configuration and send it to MN along with the QoE reference ID</w:t>
      </w:r>
      <w:r>
        <w:rPr>
          <w:rFonts w:hint="eastAsia" w:ascii="Times New Roman" w:hAnsi="Times New Roman" w:eastAsia="等线"/>
          <w:b/>
          <w:sz w:val="22"/>
          <w:szCs w:val="22"/>
          <w:lang w:val="en-US" w:eastAsia="zh-CN"/>
        </w:rPr>
        <w:t>, details are FFS</w:t>
      </w:r>
      <w:r>
        <w:rPr>
          <w:rFonts w:hint="eastAsia" w:ascii="Times New Roman" w:hAnsi="Times New Roman" w:eastAsia="等线"/>
          <w:b/>
          <w:sz w:val="22"/>
          <w:szCs w:val="22"/>
          <w:lang w:val="en-US"/>
        </w:rPr>
        <w:t>.</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9</w:t>
      </w:r>
      <w:r>
        <w:rPr>
          <w:rFonts w:hint="eastAsia" w:ascii="Times New Roman" w:hAnsi="Times New Roman" w:eastAsia="等线"/>
          <w:b/>
          <w:sz w:val="22"/>
          <w:szCs w:val="22"/>
          <w:lang w:val="en-US"/>
        </w:rPr>
        <w:t>: MN can configure the RVQoE configuration for MN and SN either in one configuration message or in separate messages.</w:t>
      </w:r>
      <w:r>
        <w:rPr>
          <w:rFonts w:hint="eastAsia" w:ascii="Times New Roman" w:hAnsi="Times New Roman" w:eastAsia="等线"/>
          <w:b/>
          <w:sz w:val="22"/>
          <w:szCs w:val="22"/>
          <w:lang w:val="en-US" w:eastAsia="zh-CN"/>
        </w:rPr>
        <w:t xml:space="preserve"> Whether SN can send the RVQoE configuration is FFS.</w:t>
      </w:r>
    </w:p>
    <w:p>
      <w:pPr>
        <w:rPr>
          <w:rFonts w:ascii="Times New Roman" w:hAnsi="Times New Roman" w:eastAsia="等线"/>
          <w:bCs/>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RAN visible </w:t>
      </w:r>
      <w:r>
        <w:rPr>
          <w:rFonts w:hint="eastAsia" w:ascii="Times New Roman" w:hAnsi="Times New Roman" w:cs="Times New Roman"/>
          <w:lang w:val="en-US"/>
        </w:rPr>
        <w:t xml:space="preserve">QoE </w:t>
      </w:r>
      <w:r>
        <w:rPr>
          <w:rFonts w:hint="eastAsia" w:ascii="Times New Roman" w:hAnsi="Times New Roman" w:eastAsia="宋体" w:cs="Times New Roman"/>
          <w:lang w:val="en-US"/>
        </w:rPr>
        <w:t xml:space="preserve">reporting </w:t>
      </w:r>
      <w:r>
        <w:rPr>
          <w:rFonts w:hint="eastAsia" w:ascii="Times New Roman" w:hAnsi="Times New Roman" w:cs="Times New Roman"/>
          <w:lang w:val="en-US"/>
        </w:rPr>
        <w:t xml:space="preserve">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R17, RAN visible QoE reporting will not be paused even though the corresponding encapsulated QoE reporting is paused. In R18, RVQoE reporting is no need to send always along with the encapsulated QoE reporting. Since the RVQoE reporting is used for RAN optimization, it is better to send the QoE reporting directly to the node who configure the RVQoE reporting.</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ascii="Times New Roman" w:hAnsi="Times New Roman" w:eastAsia="等线"/>
          <w:b/>
          <w:sz w:val="22"/>
          <w:szCs w:val="22"/>
          <w:lang w:val="en-US"/>
        </w:rPr>
        <w:t>1</w:t>
      </w:r>
      <w:r>
        <w:rPr>
          <w:rFonts w:hint="eastAsia" w:ascii="Times New Roman" w:hAnsi="Times New Roman" w:eastAsia="等线"/>
          <w:b/>
          <w:sz w:val="22"/>
          <w:szCs w:val="22"/>
          <w:lang w:val="en-US" w:eastAsia="zh-CN"/>
        </w:rPr>
        <w:t>0</w:t>
      </w:r>
      <w:r>
        <w:rPr>
          <w:rFonts w:hint="eastAsia" w:ascii="Times New Roman" w:hAnsi="Times New Roman" w:eastAsia="等线"/>
          <w:b/>
          <w:sz w:val="22"/>
          <w:szCs w:val="22"/>
          <w:lang w:val="en-US"/>
        </w:rPr>
        <w:t>: Both MN and SN can receive its</w:t>
      </w:r>
      <w:r>
        <w:rPr>
          <w:rFonts w:ascii="Times New Roman" w:hAnsi="Times New Roman" w:eastAsia="等线"/>
          <w:b/>
          <w:sz w:val="22"/>
          <w:szCs w:val="22"/>
          <w:lang w:val="en-US"/>
        </w:rPr>
        <w:t xml:space="preserve"> own </w:t>
      </w:r>
      <w:r>
        <w:rPr>
          <w:rFonts w:hint="eastAsia" w:ascii="Times New Roman" w:hAnsi="Times New Roman" w:eastAsia="等线"/>
          <w:b/>
          <w:sz w:val="22"/>
          <w:szCs w:val="22"/>
          <w:lang w:val="en-US"/>
        </w:rPr>
        <w:t xml:space="preserve">RVQoE reports from UE directly for NR-DC. </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one case, there is no direct connection between UE and SN, .e.g. SRB3 or other SRB, the RVQoE report may need to received by MN, and MN will send RVQoE report to SN if the SN also need the RVQoE report. If the MN and SN configure the same RVQoE configuration, the RVQoE report can be send to MN or SN, and MN or SN can forward the RVQoE report to the peer node. In RAN3#117e meeting, it has the following WA, and it should be turn to an agreement:</w:t>
      </w:r>
    </w:p>
    <w:p>
      <w:pPr>
        <w:rPr>
          <w:rFonts w:ascii="Times New Roman" w:hAnsi="Times New Roman" w:eastAsia="等线"/>
          <w:bCs/>
          <w:sz w:val="22"/>
          <w:szCs w:val="22"/>
          <w:lang w:val="en-US"/>
        </w:rPr>
      </w:pPr>
      <w:r>
        <w:rPr>
          <w:rFonts w:ascii="Calibri" w:hAnsi="Calibri" w:cs="Calibri"/>
          <w:b/>
          <w:color w:val="008000"/>
          <w:sz w:val="18"/>
          <w:lang w:eastAsia="en-US"/>
        </w:rPr>
        <w:t>WA: UE can send RVQoE report to MN, MN then forward the RVQoE report to SN if needed, and vice versa.</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ascii="Times New Roman" w:hAnsi="Times New Roman" w:eastAsia="等线"/>
          <w:b/>
          <w:sz w:val="22"/>
          <w:szCs w:val="22"/>
          <w:lang w:val="en-US"/>
        </w:rPr>
        <w:t>1</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above WA should be turn</w:t>
      </w:r>
      <w:r>
        <w:rPr>
          <w:rFonts w:ascii="Times New Roman" w:hAnsi="Times New Roman" w:eastAsia="等线"/>
          <w:b/>
          <w:sz w:val="22"/>
          <w:szCs w:val="22"/>
          <w:lang w:val="en-US"/>
        </w:rPr>
        <w:t>ed</w:t>
      </w:r>
      <w:r>
        <w:rPr>
          <w:rFonts w:hint="eastAsia" w:ascii="Times New Roman" w:hAnsi="Times New Roman" w:eastAsia="等线"/>
          <w:b/>
          <w:sz w:val="22"/>
          <w:szCs w:val="22"/>
          <w:lang w:val="en-US"/>
        </w:rPr>
        <w:t xml:space="preserve"> to an agreement.</w:t>
      </w:r>
    </w:p>
    <w:p>
      <w:pPr>
        <w:rPr>
          <w:rFonts w:ascii="Times New Roman" w:hAnsi="Times New Roman" w:eastAsia="等线"/>
          <w:bCs/>
          <w:sz w:val="22"/>
          <w:szCs w:val="22"/>
          <w:lang w:val="en-US"/>
        </w:rPr>
      </w:pPr>
    </w:p>
    <w:p>
      <w:pPr>
        <w:rPr>
          <w:rFonts w:ascii="Times New Roman" w:hAnsi="Times New Roman" w:eastAsia="等线"/>
          <w:bCs/>
          <w:sz w:val="22"/>
          <w:szCs w:val="22"/>
          <w:lang w:val="en-US"/>
        </w:rPr>
      </w:pPr>
    </w:p>
    <w:p>
      <w:pPr>
        <w:pStyle w:val="2"/>
        <w:rPr>
          <w:rFonts w:ascii="Times New Roman" w:hAnsi="Times New Roman" w:cs="Times New Roman"/>
          <w:sz w:val="40"/>
          <w:lang w:val="en-US"/>
        </w:rPr>
      </w:pPr>
      <w:r>
        <w:rPr>
          <w:rFonts w:ascii="Times New Roman" w:hAnsi="Times New Roman" w:cs="Times New Roman"/>
          <w:sz w:val="40"/>
        </w:rPr>
        <w:t>Conclusion</w:t>
      </w:r>
    </w:p>
    <w:p>
      <w:pPr>
        <w:rPr>
          <w:rFonts w:ascii="Times New Roman" w:hAnsi="Times New Roman" w:eastAsia="等线"/>
          <w:b/>
          <w:bCs/>
          <w:sz w:val="22"/>
          <w:szCs w:val="22"/>
        </w:rPr>
      </w:pPr>
      <w:r>
        <w:rPr>
          <w:rFonts w:ascii="Times New Roman" w:hAnsi="Times New Roman" w:eastAsia="等线"/>
          <w:b/>
          <w:sz w:val="22"/>
          <w:szCs w:val="22"/>
          <w:lang w:val="en-US"/>
        </w:rPr>
        <w:t xml:space="preserve">Observation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s-based QoE configuration, MN shall configure the UE without any action from SN.</w:t>
      </w:r>
    </w:p>
    <w:p>
      <w:pPr>
        <w:rPr>
          <w:rFonts w:ascii="Times New Roman" w:hAnsi="Times New Roman" w:eastAsia="等线"/>
          <w:bCs/>
          <w:sz w:val="22"/>
          <w:szCs w:val="22"/>
        </w:rPr>
      </w:pPr>
      <w:r>
        <w:rPr>
          <w:rFonts w:ascii="Times New Roman" w:hAnsi="Times New Roman" w:eastAsia="等线"/>
          <w:b/>
          <w:sz w:val="22"/>
          <w:szCs w:val="22"/>
          <w:lang w:val="en-US"/>
        </w:rPr>
        <w:t xml:space="preserve">Observation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rPr>
        <w:t>MN and SN can check whether they are in QoE area scope or not.</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MN and SN receive a same QoE measurement, SN sends an indication to MN, while MN decides whether to configure the UE and sends the decision back to SN. </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only MN is in the QoE measurement area scope, MN configures the UE and sends the QoE configuration information to SN. </w:t>
      </w:r>
    </w:p>
    <w:p>
      <w:pPr>
        <w:rPr>
          <w:rFonts w:ascii="Times New Roman" w:hAnsi="Times New Roman" w:eastAsia="等线"/>
          <w:b/>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if only SN is in the QoE measurement area scope, SN sends the QoE configuration information to MN. </w:t>
      </w:r>
    </w:p>
    <w:p>
      <w:pPr>
        <w:rPr>
          <w:rFonts w:ascii="Times New Roman" w:hAnsi="Times New Roman" w:eastAsia="等线"/>
          <w:b/>
          <w:bCs/>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UE can transmit the QoE report over SN </w:t>
      </w:r>
      <w:r>
        <w:rPr>
          <w:rFonts w:hint="eastAsia" w:ascii="Times New Roman" w:hAnsi="Times New Roman" w:eastAsia="等线"/>
          <w:b/>
          <w:bCs/>
          <w:sz w:val="22"/>
          <w:szCs w:val="22"/>
          <w:lang w:val="en-US" w:eastAsia="zh-CN"/>
        </w:rPr>
        <w:t xml:space="preserve">after receiving </w:t>
      </w:r>
      <w:r>
        <w:rPr>
          <w:rFonts w:ascii="Times New Roman" w:hAnsi="Times New Roman" w:eastAsia="等线"/>
          <w:b/>
          <w:bCs/>
          <w:sz w:val="22"/>
          <w:szCs w:val="22"/>
          <w:lang w:val="en-US"/>
        </w:rPr>
        <w:t>the indication from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ascii="Times New Roman" w:hAnsi="Times New Roman" w:eastAsia="等线"/>
          <w:b/>
          <w:sz w:val="22"/>
          <w:szCs w:val="22"/>
          <w:lang w:val="en-US"/>
        </w:rPr>
        <w:t>: The WA:</w:t>
      </w:r>
      <w:r>
        <w:t xml:space="preserve"> “</w:t>
      </w:r>
      <w:r>
        <w:rPr>
          <w:rFonts w:ascii="Times New Roman" w:hAnsi="Times New Roman" w:eastAsia="等线"/>
          <w:b/>
          <w:sz w:val="22"/>
          <w:szCs w:val="22"/>
          <w:lang w:val="en-US"/>
        </w:rPr>
        <w:t xml:space="preserve">If QoE reports are received by the SN, SN can forward the QoE reports to MCE directly” should be turned to an agreement.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MN and SN can generate RVQoE configurations. Two </w:t>
      </w:r>
      <w:r>
        <w:rPr>
          <w:rFonts w:hint="eastAsia" w:ascii="Times New Roman" w:hAnsi="Times New Roman" w:eastAsia="等线"/>
          <w:b/>
          <w:sz w:val="22"/>
          <w:szCs w:val="22"/>
          <w:lang w:val="en-US" w:eastAsia="zh-CN"/>
        </w:rPr>
        <w:t xml:space="preserve">individual </w:t>
      </w:r>
      <w:r>
        <w:rPr>
          <w:rFonts w:hint="eastAsia" w:ascii="Times New Roman" w:hAnsi="Times New Roman" w:eastAsia="等线"/>
          <w:b/>
          <w:sz w:val="22"/>
          <w:szCs w:val="22"/>
          <w:lang w:val="en-US"/>
        </w:rPr>
        <w:t>RVQoE configurations can be generate</w:t>
      </w:r>
      <w:r>
        <w:rPr>
          <w:rFonts w:hint="eastAsia" w:ascii="Times New Roman" w:hAnsi="Times New Roman" w:eastAsia="等线"/>
          <w:b/>
          <w:sz w:val="22"/>
          <w:szCs w:val="22"/>
          <w:lang w:val="en-US" w:eastAsia="zh-CN"/>
        </w:rPr>
        <w:t>d</w:t>
      </w:r>
      <w:r>
        <w:rPr>
          <w:rFonts w:hint="eastAsia" w:ascii="Times New Roman" w:hAnsi="Times New Roman" w:eastAsia="等线"/>
          <w:b/>
          <w:sz w:val="22"/>
          <w:szCs w:val="22"/>
          <w:lang w:val="en-US"/>
        </w:rPr>
        <w:t xml:space="preserve"> with different measConfigAppLayerId which is allocated by MN and SN separately.</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If the QoE configuration is received by the MN, MN will send the QoE </w:t>
      </w:r>
      <w:r>
        <w:rPr>
          <w:rFonts w:hint="eastAsia" w:ascii="Times New Roman" w:hAnsi="Times New Roman" w:eastAsia="等线"/>
          <w:b/>
          <w:sz w:val="22"/>
          <w:szCs w:val="22"/>
          <w:lang w:val="en-US" w:eastAsia="zh-CN"/>
        </w:rPr>
        <w:t>configuration</w:t>
      </w:r>
      <w:r>
        <w:rPr>
          <w:rFonts w:hint="eastAsia" w:ascii="Times New Roman" w:hAnsi="Times New Roman" w:eastAsia="等线"/>
          <w:b/>
          <w:sz w:val="22"/>
          <w:szCs w:val="22"/>
          <w:lang w:val="en-US"/>
        </w:rPr>
        <w:t xml:space="preserve"> to SN</w:t>
      </w:r>
      <w:r>
        <w:rPr>
          <w:rFonts w:hint="eastAsia" w:ascii="Times New Roman" w:hAnsi="Times New Roman" w:eastAsia="等线"/>
          <w:b/>
          <w:sz w:val="22"/>
          <w:szCs w:val="22"/>
          <w:lang w:val="en-US" w:eastAsia="zh-CN"/>
        </w:rPr>
        <w:t>, details are FFS</w:t>
      </w:r>
      <w:r>
        <w:rPr>
          <w:rFonts w:hint="eastAsia" w:ascii="Times New Roman" w:hAnsi="Times New Roman" w:eastAsia="等线"/>
          <w:b/>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SN generate RVQoE configuration and send it to MN along with the QoE reference ID</w:t>
      </w:r>
      <w:r>
        <w:rPr>
          <w:rFonts w:hint="eastAsia" w:ascii="Times New Roman" w:hAnsi="Times New Roman" w:eastAsia="等线"/>
          <w:b/>
          <w:sz w:val="22"/>
          <w:szCs w:val="22"/>
          <w:lang w:val="en-US" w:eastAsia="zh-CN"/>
        </w:rPr>
        <w:t>, details are FFS</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9</w:t>
      </w:r>
      <w:r>
        <w:rPr>
          <w:rFonts w:hint="eastAsia" w:ascii="Times New Roman" w:hAnsi="Times New Roman" w:eastAsia="等线"/>
          <w:b/>
          <w:sz w:val="22"/>
          <w:szCs w:val="22"/>
          <w:lang w:val="en-US"/>
        </w:rPr>
        <w:t>: MN can configure the RVQoE configuration for MN and SN either in one configuration message or in separate messages.</w:t>
      </w:r>
      <w:r>
        <w:rPr>
          <w:rFonts w:hint="eastAsia" w:ascii="Times New Roman" w:hAnsi="Times New Roman" w:eastAsia="等线"/>
          <w:b/>
          <w:sz w:val="22"/>
          <w:szCs w:val="22"/>
          <w:lang w:val="en-US" w:eastAsia="zh-CN"/>
        </w:rPr>
        <w:t xml:space="preserve"> Whether SN can send the RVQoE configuration is FFS.</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ascii="Times New Roman" w:hAnsi="Times New Roman" w:eastAsia="等线"/>
          <w:b/>
          <w:sz w:val="22"/>
          <w:szCs w:val="22"/>
          <w:lang w:val="en-US"/>
        </w:rPr>
        <w:t>1</w:t>
      </w:r>
      <w:r>
        <w:rPr>
          <w:rFonts w:hint="eastAsia" w:ascii="Times New Roman" w:hAnsi="Times New Roman" w:eastAsia="等线"/>
          <w:b/>
          <w:sz w:val="22"/>
          <w:szCs w:val="22"/>
          <w:lang w:val="en-US" w:eastAsia="zh-CN"/>
        </w:rPr>
        <w:t>0</w:t>
      </w:r>
      <w:r>
        <w:rPr>
          <w:rFonts w:hint="eastAsia" w:ascii="Times New Roman" w:hAnsi="Times New Roman" w:eastAsia="等线"/>
          <w:b/>
          <w:sz w:val="22"/>
          <w:szCs w:val="22"/>
          <w:lang w:val="en-US"/>
        </w:rPr>
        <w:t>: Both MN and SN can receive its</w:t>
      </w:r>
      <w:r>
        <w:rPr>
          <w:rFonts w:ascii="Times New Roman" w:hAnsi="Times New Roman" w:eastAsia="等线"/>
          <w:b/>
          <w:sz w:val="22"/>
          <w:szCs w:val="22"/>
          <w:lang w:val="en-US"/>
        </w:rPr>
        <w:t xml:space="preserve"> own </w:t>
      </w:r>
      <w:r>
        <w:rPr>
          <w:rFonts w:hint="eastAsia" w:ascii="Times New Roman" w:hAnsi="Times New Roman" w:eastAsia="等线"/>
          <w:b/>
          <w:sz w:val="22"/>
          <w:szCs w:val="22"/>
          <w:lang w:val="en-US"/>
        </w:rPr>
        <w:t xml:space="preserve">RVQoE reports from UE directly for NR-DC. </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ascii="Times New Roman" w:hAnsi="Times New Roman" w:eastAsia="等线"/>
          <w:b/>
          <w:sz w:val="22"/>
          <w:szCs w:val="22"/>
          <w:lang w:val="en-US"/>
        </w:rPr>
        <w:t>1</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above WA should be turn</w:t>
      </w:r>
      <w:r>
        <w:rPr>
          <w:rFonts w:ascii="Times New Roman" w:hAnsi="Times New Roman" w:eastAsia="等线"/>
          <w:b/>
          <w:sz w:val="22"/>
          <w:szCs w:val="22"/>
          <w:lang w:val="en-US"/>
        </w:rPr>
        <w:t>ed</w:t>
      </w:r>
      <w:r>
        <w:rPr>
          <w:rFonts w:hint="eastAsia" w:ascii="Times New Roman" w:hAnsi="Times New Roman" w:eastAsia="等线"/>
          <w:b/>
          <w:sz w:val="22"/>
          <w:szCs w:val="22"/>
          <w:lang w:val="en-US"/>
        </w:rPr>
        <w:t xml:space="preserve"> to an agreement.</w:t>
      </w:r>
    </w:p>
    <w:p>
      <w:pPr>
        <w:rPr>
          <w:rFonts w:hint="eastAsia" w:ascii="Times New Roman" w:hAnsi="Times New Roman" w:eastAsia="等线"/>
          <w:b/>
          <w:sz w:val="22"/>
          <w:szCs w:val="22"/>
          <w:lang w:val="en-US"/>
        </w:rPr>
      </w:pPr>
      <w:bookmarkStart w:id="0" w:name="_GoBack"/>
      <w:bookmarkEnd w:id="0"/>
    </w:p>
    <w:p>
      <w:pPr>
        <w:rPr>
          <w:rFonts w:hint="default" w:ascii="Times New Roman" w:hAnsi="Times New Roman" w:eastAsia="等线"/>
          <w:b/>
          <w:sz w:val="22"/>
          <w:szCs w:val="22"/>
          <w:lang w:val="en-US" w:eastAsia="zh-CN"/>
        </w:rPr>
      </w:pPr>
    </w:p>
    <w:p>
      <w:pPr>
        <w:rPr>
          <w:rFonts w:hint="eastAsia" w:ascii="Times New Roman" w:hAnsi="Times New Roman" w:eastAsia="等线"/>
          <w:b/>
          <w:sz w:val="22"/>
          <w:szCs w:val="22"/>
          <w:lang w:val="en-US"/>
        </w:rPr>
      </w:pPr>
    </w:p>
    <w:p>
      <w:pPr>
        <w:rPr>
          <w:rFonts w:ascii="Times New Roman" w:hAnsi="Times New Roman" w:eastAsia="等线"/>
          <w:b/>
          <w:sz w:val="22"/>
          <w:szCs w:val="22"/>
          <w:lang w:val="en-US"/>
        </w:rPr>
      </w:pPr>
    </w:p>
    <w:p>
      <w:pPr>
        <w:rPr>
          <w:rFonts w:ascii="Times New Roman" w:hAnsi="Times New Roman" w:eastAsia="等线"/>
          <w:b/>
          <w:bCs/>
          <w:sz w:val="22"/>
          <w:szCs w:val="22"/>
          <w:lang w:val="en-US"/>
        </w:rPr>
      </w:pPr>
    </w:p>
    <w:p>
      <w:pPr>
        <w:rPr>
          <w:rFonts w:ascii="Times New Roman" w:hAnsi="Times New Roman" w:eastAsia="等线"/>
          <w:b/>
          <w:bCs/>
          <w:sz w:val="22"/>
          <w:szCs w:val="22"/>
        </w:rPr>
      </w:pPr>
    </w:p>
    <w:p>
      <w:pPr>
        <w:rPr>
          <w:rFonts w:ascii="Times New Roman" w:hAnsi="Times New Roman" w:eastAsia="等线"/>
          <w:b/>
          <w:bCs/>
          <w:sz w:val="22"/>
          <w:szCs w:val="22"/>
        </w:rPr>
      </w:pPr>
    </w:p>
    <w:p>
      <w:pPr>
        <w:rPr>
          <w:rFonts w:ascii="Times New Roman" w:hAnsi="Times New Roman" w:eastAsia="等线"/>
          <w:b/>
          <w:bCs/>
          <w:sz w:val="22"/>
          <w:szCs w:val="22"/>
        </w:rPr>
      </w:pPr>
    </w:p>
    <w:p>
      <w:pPr>
        <w:rPr>
          <w:rFonts w:ascii="Times New Roman" w:hAnsi="Times New Roman" w:eastAsia="等线"/>
          <w:b/>
          <w:bCs/>
          <w:sz w:val="22"/>
          <w:szCs w:val="22"/>
        </w:rPr>
      </w:pP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46BC"/>
    <w:multiLevelType w:val="singleLevel"/>
    <w:tmpl w:val="990746BC"/>
    <w:lvl w:ilvl="0" w:tentative="0">
      <w:start w:val="1"/>
      <w:numFmt w:val="lowerLetter"/>
      <w:suff w:val="space"/>
      <w:lvlText w:val="%1)"/>
      <w:lvlJc w:val="left"/>
      <w:pPr>
        <w:ind w:left="420"/>
      </w:pPr>
    </w:lvl>
  </w:abstractNum>
  <w:abstractNum w:abstractNumId="1">
    <w:nsid w:val="E0E649C6"/>
    <w:multiLevelType w:val="singleLevel"/>
    <w:tmpl w:val="E0E649C6"/>
    <w:lvl w:ilvl="0" w:tentative="0">
      <w:start w:val="1"/>
      <w:numFmt w:val="lowerLetter"/>
      <w:suff w:val="space"/>
      <w:lvlText w:val="%1)"/>
      <w:lvlJc w:val="left"/>
      <w:pPr>
        <w:ind w:left="42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9157C1C"/>
    <w:multiLevelType w:val="multilevel"/>
    <w:tmpl w:val="49157C1C"/>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ACC4BBE"/>
    <w:multiLevelType w:val="multilevel"/>
    <w:tmpl w:val="4ACC4BBE"/>
    <w:lvl w:ilvl="0" w:tentative="0">
      <w:start w:val="0"/>
      <w:numFmt w:val="bullet"/>
      <w:lvlText w:val="-"/>
      <w:lvlJc w:val="left"/>
      <w:pPr>
        <w:ind w:left="780" w:hanging="420"/>
      </w:pPr>
      <w:rPr>
        <w:rFonts w:hint="default" w:ascii="Calibri" w:hAnsi="Calibri" w:eastAsia="MS Mincho" w:cs="Calibri"/>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49207C4"/>
    <w:multiLevelType w:val="singleLevel"/>
    <w:tmpl w:val="749207C4"/>
    <w:lvl w:ilvl="0" w:tentative="0">
      <w:start w:val="1"/>
      <w:numFmt w:val="decimal"/>
      <w:suff w:val="space"/>
      <w:lvlText w:val="%1)"/>
      <w:lvlJc w:val="left"/>
    </w:lvl>
  </w:abstractNum>
  <w:num w:numId="1">
    <w:abstractNumId w:val="2"/>
  </w:num>
  <w:num w:numId="2">
    <w:abstractNumId w:val="7"/>
  </w:num>
  <w:num w:numId="3">
    <w:abstractNumId w:val="4"/>
  </w:num>
  <w:num w:numId="4">
    <w:abstractNumId w:val="9"/>
  </w:num>
  <w:num w:numId="5">
    <w:abstractNumId w:val="3"/>
  </w:num>
  <w:num w:numId="6">
    <w:abstractNumId w:val="8"/>
  </w:num>
  <w:num w:numId="7">
    <w:abstractNumId w:val="6"/>
  </w:num>
  <w:num w:numId="8">
    <w:abstractNumId w:val="5"/>
  </w:num>
  <w:num w:numId="9">
    <w:abstractNumId w:val="1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FF420C"/>
    <w:rsid w:val="02BE4901"/>
    <w:rsid w:val="04806B7E"/>
    <w:rsid w:val="0637581D"/>
    <w:rsid w:val="063F7AB5"/>
    <w:rsid w:val="093667F2"/>
    <w:rsid w:val="09542584"/>
    <w:rsid w:val="09D72C99"/>
    <w:rsid w:val="0A491491"/>
    <w:rsid w:val="0B5F6E5D"/>
    <w:rsid w:val="0BD95AE1"/>
    <w:rsid w:val="0C1C61E1"/>
    <w:rsid w:val="0CA106AF"/>
    <w:rsid w:val="0F525467"/>
    <w:rsid w:val="0F8B024A"/>
    <w:rsid w:val="12B23BCF"/>
    <w:rsid w:val="13392E6D"/>
    <w:rsid w:val="144C30DB"/>
    <w:rsid w:val="14576AE2"/>
    <w:rsid w:val="14764DB5"/>
    <w:rsid w:val="15EF77C6"/>
    <w:rsid w:val="166824B4"/>
    <w:rsid w:val="18650326"/>
    <w:rsid w:val="197A336A"/>
    <w:rsid w:val="19E57B15"/>
    <w:rsid w:val="1A5D4B06"/>
    <w:rsid w:val="1B545DD1"/>
    <w:rsid w:val="1C1E5D3E"/>
    <w:rsid w:val="1D60072F"/>
    <w:rsid w:val="1F8B4261"/>
    <w:rsid w:val="1F9B7FFA"/>
    <w:rsid w:val="22C20E17"/>
    <w:rsid w:val="23917DB2"/>
    <w:rsid w:val="23C925DD"/>
    <w:rsid w:val="24E56C29"/>
    <w:rsid w:val="27DF4678"/>
    <w:rsid w:val="28BB1234"/>
    <w:rsid w:val="295419DA"/>
    <w:rsid w:val="29FE4971"/>
    <w:rsid w:val="2A947DE8"/>
    <w:rsid w:val="2B345733"/>
    <w:rsid w:val="2B3F72B2"/>
    <w:rsid w:val="2B4F306B"/>
    <w:rsid w:val="2B7259B8"/>
    <w:rsid w:val="2BDB354D"/>
    <w:rsid w:val="2CE03230"/>
    <w:rsid w:val="2E6D0438"/>
    <w:rsid w:val="2F6621DF"/>
    <w:rsid w:val="30761D31"/>
    <w:rsid w:val="30BA3ED1"/>
    <w:rsid w:val="30BE3A29"/>
    <w:rsid w:val="33EA35AD"/>
    <w:rsid w:val="353A0AAB"/>
    <w:rsid w:val="357339D9"/>
    <w:rsid w:val="35A10BB2"/>
    <w:rsid w:val="36273A23"/>
    <w:rsid w:val="36310C28"/>
    <w:rsid w:val="368461D9"/>
    <w:rsid w:val="36F40202"/>
    <w:rsid w:val="37166B78"/>
    <w:rsid w:val="376A5776"/>
    <w:rsid w:val="38C9453B"/>
    <w:rsid w:val="392D14D4"/>
    <w:rsid w:val="3AE31128"/>
    <w:rsid w:val="3B674128"/>
    <w:rsid w:val="3CA45F55"/>
    <w:rsid w:val="3CED5BAF"/>
    <w:rsid w:val="3E71782D"/>
    <w:rsid w:val="3F5546BC"/>
    <w:rsid w:val="3FE27CDB"/>
    <w:rsid w:val="3FED4319"/>
    <w:rsid w:val="422C2522"/>
    <w:rsid w:val="42AC253D"/>
    <w:rsid w:val="43266FB8"/>
    <w:rsid w:val="43AC0714"/>
    <w:rsid w:val="4701694A"/>
    <w:rsid w:val="471A7B91"/>
    <w:rsid w:val="47275B26"/>
    <w:rsid w:val="47B36DD3"/>
    <w:rsid w:val="48C63DF7"/>
    <w:rsid w:val="4B3833FC"/>
    <w:rsid w:val="4C1134F9"/>
    <w:rsid w:val="4EBC6B68"/>
    <w:rsid w:val="4F71072F"/>
    <w:rsid w:val="4FAD5B31"/>
    <w:rsid w:val="50473316"/>
    <w:rsid w:val="513D08B7"/>
    <w:rsid w:val="519D2DF5"/>
    <w:rsid w:val="51DC14C4"/>
    <w:rsid w:val="523A7C7F"/>
    <w:rsid w:val="52DD19BB"/>
    <w:rsid w:val="531942AD"/>
    <w:rsid w:val="545123F3"/>
    <w:rsid w:val="56EA0AB1"/>
    <w:rsid w:val="574122DC"/>
    <w:rsid w:val="576D087E"/>
    <w:rsid w:val="57835EA0"/>
    <w:rsid w:val="596C02F9"/>
    <w:rsid w:val="59BC4ED0"/>
    <w:rsid w:val="5A1B07BE"/>
    <w:rsid w:val="5AEC74F8"/>
    <w:rsid w:val="5B7079CB"/>
    <w:rsid w:val="5BD762C4"/>
    <w:rsid w:val="5C7143C6"/>
    <w:rsid w:val="5CC8203E"/>
    <w:rsid w:val="5CED4F6D"/>
    <w:rsid w:val="5D5C1E8F"/>
    <w:rsid w:val="5DF77DE0"/>
    <w:rsid w:val="5E1955EB"/>
    <w:rsid w:val="5E4A6AD5"/>
    <w:rsid w:val="5EE92875"/>
    <w:rsid w:val="60A93A22"/>
    <w:rsid w:val="60C3026A"/>
    <w:rsid w:val="629F20B6"/>
    <w:rsid w:val="639221EC"/>
    <w:rsid w:val="640139DD"/>
    <w:rsid w:val="660C196D"/>
    <w:rsid w:val="676A48B2"/>
    <w:rsid w:val="67B54588"/>
    <w:rsid w:val="69862E6A"/>
    <w:rsid w:val="69A17C70"/>
    <w:rsid w:val="69FA2796"/>
    <w:rsid w:val="6B9F6E13"/>
    <w:rsid w:val="6BE50B5D"/>
    <w:rsid w:val="6CEB7969"/>
    <w:rsid w:val="6CEE7C83"/>
    <w:rsid w:val="6DA4006D"/>
    <w:rsid w:val="6FA50228"/>
    <w:rsid w:val="6FDB386D"/>
    <w:rsid w:val="711E0693"/>
    <w:rsid w:val="7204658A"/>
    <w:rsid w:val="729D729D"/>
    <w:rsid w:val="7352461E"/>
    <w:rsid w:val="735B2D57"/>
    <w:rsid w:val="74516EE2"/>
    <w:rsid w:val="74D63C4F"/>
    <w:rsid w:val="78A13E89"/>
    <w:rsid w:val="791259C0"/>
    <w:rsid w:val="79F65D09"/>
    <w:rsid w:val="7B3A3F28"/>
    <w:rsid w:val="7C0323A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DE493EDE-3679-4263-A95C-CB3FBE678763}">
  <ds:schemaRefs/>
</ds:datastoreItem>
</file>

<file path=customXml/itemProps3.xml><?xml version="1.0" encoding="utf-8"?>
<ds:datastoreItem xmlns:ds="http://schemas.openxmlformats.org/officeDocument/2006/customXml" ds:itemID="{7957D943-A877-475D-BA92-1F9DEC590F82}">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2177</Words>
  <Characters>12410</Characters>
  <Lines>103</Lines>
  <Paragraphs>29</Paragraphs>
  <TotalTime>0</TotalTime>
  <ScaleCrop>false</ScaleCrop>
  <LinksUpToDate>false</LinksUpToDate>
  <CharactersWithSpaces>14558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unicom</cp:lastModifiedBy>
  <dcterms:modified xsi:type="dcterms:W3CDTF">2022-09-28T07:42:47Z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FF648D5C44A64CDC8A7C0D3851129754</vt:lpwstr>
  </property>
</Properties>
</file>